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苏州市政府采购</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ind w:left="1040"/>
        <w:spacing w:line="360" w:lineRule="auto"/>
        <w:rPr>
          <w:rFonts w:hint="eastAsia" w:ascii="宋体" w:hAnsi="宋体" w:eastAsia="宋体"/>
          <w:b/>
          <w:color w:val="auto"/>
          <w:spacing w:val="-6"/>
          <w:sz w:val="32"/>
          <w:szCs w:val="22"/>
          <w:highlight w:val="none"/>
          <w:lang w:eastAsia="zh-CN"/>
        </w:rPr>
      </w:pPr>
      <w:r>
        <w:rPr>
          <w:rFonts w:hint="eastAsia" w:ascii="宋体" w:hAnsi="宋体" w:eastAsia="宋体"/>
          <w:b/>
          <w:color w:val="auto"/>
          <w:spacing w:val="-6"/>
          <w:sz w:val="32"/>
          <w:highlight w:val="none"/>
        </w:rPr>
        <w:t xml:space="preserve">采购编号</w:t>
      </w:r>
      <w:r>
        <w:rPr>
          <w:rFonts w:hint="eastAsia" w:ascii="宋体" w:hAnsi="宋体" w:eastAsia="宋体"/>
          <w:b/>
          <w:color w:val="auto"/>
          <w:spacing w:val="-6"/>
          <w:sz w:val="32"/>
          <w:szCs w:val="22"/>
          <w:highlight w:val="none"/>
        </w:rPr>
        <w:t xml:space="preserve">：</w:t>
      </w:r>
      <w:r>
        <w:rPr>
          <w:rFonts w:hint="eastAsia" w:ascii="宋体" w:hAnsi="宋体" w:eastAsia="宋体"/>
          <w:b/>
          <w:color w:val="auto"/>
          <w:spacing w:val="-6"/>
          <w:sz w:val="32"/>
          <w:szCs w:val="22"/>
          <w:highlight w:val="none"/>
          <w:lang w:eastAsia="zh-CN"/>
        </w:rPr>
        <w:t xml:space="preserve">JSZC-320506-SZCH-C2025-0121</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 购 人：苏州市吴中区甪直镇人民政府</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采购内容：</w:t>
      </w:r>
      <w:r>
        <w:rPr>
          <w:rFonts w:hint="eastAsia" w:ascii="宋体" w:hAnsi="宋体" w:eastAsia="宋体" w:cs="宋体"/>
          <w:b/>
          <w:color w:val="auto"/>
          <w:spacing w:val="-6"/>
          <w:sz w:val="32"/>
          <w:highlight w:val="none"/>
        </w:rPr>
        <w:t xml:space="preserve">甪直镇居民意外综合保险</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highlight w:val="none"/>
        </w:rPr>
      </w:pPr>
      <w:r>
        <w:rPr>
          <w:rFonts w:ascii="宋体" w:hAnsi="宋体" w:eastAsia="宋体"/>
          <w:color w:val="auto"/>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6"/>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苏州诚和招投标咨询有限公司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二○二</w:t>
      </w:r>
      <w:r>
        <w:rPr>
          <w:rFonts w:hint="eastAsia" w:ascii="宋体" w:hAnsi="宋体" w:eastAsia="宋体"/>
          <w:b/>
          <w:color w:val="auto"/>
          <w:sz w:val="32"/>
          <w:highlight w:val="none"/>
          <w:lang w:val="en-US" w:eastAsia="zh-CN"/>
        </w:rPr>
        <w:t xml:space="preserve">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一</w:t>
      </w:r>
      <w:r>
        <w:rPr>
          <w:rFonts w:hint="eastAsia" w:ascii="宋体" w:hAnsi="宋体" w:eastAsia="宋体"/>
          <w:b/>
          <w:color w:val="auto"/>
          <w:sz w:val="32"/>
          <w:highlight w:val="none"/>
        </w:rPr>
        <w:t xml:space="preserve">月</w:t>
      </w:r>
      <w:r/>
    </w:p>
    <w:p>
      <w:pPr>
        <w:jc w:val="center"/>
        <w:spacing w:line="360" w:lineRule="auto"/>
        <w:rPr>
          <w:rFonts w:hint="eastAsia" w:ascii="宋体" w:hAnsi="宋体" w:eastAsia="宋体"/>
          <w:b/>
          <w:color w:val="auto"/>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color w:val="auto"/>
          <w:sz w:val="30"/>
          <w:szCs w:val="30"/>
          <w:highlight w:val="none"/>
        </w:rPr>
      </w:r>
      <w:r/>
    </w:p>
    <w:p>
      <w:pPr>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前附表</w:t>
      </w:r>
      <w:r/>
    </w:p>
    <w:tbl>
      <w:tblPr>
        <w:tblStyle w:val="948"/>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tcW w:w="9007" w:type="dxa"/>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采购内容：甪直镇居民意外综合保险</w:t>
            </w:r>
            <w:bookmarkEnd w:id="0"/>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投标（响应）文件有效期：自投标（响应）截止日起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投标（响应）文件：</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投标（响应）文件提交：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截止时间：2026年1月23日13点30分（北京时间）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开启时间：2026年1月23日13点30分（北京时间）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63"/>
                <w:rFonts w:hint="eastAsia" w:ascii="宋体" w:hAnsi="宋体" w:eastAsia="宋体" w:cs="宋体"/>
                <w:color w:val="auto"/>
                <w:sz w:val="24"/>
                <w:szCs w:val="24"/>
                <w:highlight w:val="none"/>
              </w:rPr>
              <w:t xml:space="preserve">http://jszfcg.jsczt.cn/</w:t>
            </w:r>
            <w:r>
              <w:rPr>
                <w:rStyle w:val="963"/>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959"/>
              <w:ind w:left="0" w:firstLine="0"/>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007" w:type="dxa"/>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保证金的规定均不适用。</w:t>
            </w:r>
            <w:r/>
          </w:p>
          <w:p>
            <w:pPr>
              <w:ind w:right="-159"/>
              <w:jc w:val="left"/>
              <w:widowControl/>
              <w:rPr>
                <w:rFonts w:hint="eastAsia" w:ascii="宋体" w:hAnsi="宋体" w:eastAsia="宋体" w:cs="宋体"/>
                <w:color w:val="auto"/>
                <w:sz w:val="24"/>
                <w:szCs w:val="24"/>
                <w:highlight w:val="none"/>
                <w:lang w:eastAsia="zh"/>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 元整。</w:t>
            </w:r>
            <w:r>
              <w:rPr>
                <w:rFonts w:hint="eastAsia" w:ascii="宋体" w:hAnsi="宋体" w:eastAsia="宋体" w:cs="宋体"/>
                <w:color w:val="auto"/>
                <w:sz w:val="24"/>
                <w:szCs w:val="24"/>
                <w:highlight w:val="none"/>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代理服务费收费标准：代理服务费收费按以下标准的</w:t>
            </w:r>
            <w:r>
              <w:rPr>
                <w:rFonts w:hint="eastAsia" w:ascii="宋体" w:hAnsi="宋体" w:eastAsia="宋体" w:cs="宋体"/>
                <w:bCs/>
                <w:color w:val="auto"/>
                <w:sz w:val="24"/>
                <w:szCs w:val="24"/>
                <w:highlight w:val="none"/>
                <w:u w:val="single"/>
              </w:rPr>
              <w:t xml:space="preserve"> 100 </w:t>
            </w:r>
            <w:r>
              <w:rPr>
                <w:rFonts w:hint="eastAsia" w:ascii="宋体" w:hAnsi="宋体" w:eastAsia="宋体" w:cs="宋体"/>
                <w:bCs/>
                <w:color w:val="auto"/>
                <w:sz w:val="24"/>
                <w:szCs w:val="24"/>
                <w:highlight w:val="none"/>
              </w:rPr>
              <w:t xml:space="preserve">%收取：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中标（成交）通知书时中标（成交）人向采购代理机构一次性付清。</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服务费账号：8314122601346</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账户名：苏州诚和招投标咨询有限公司</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苏州市吴中区区政府采购监督电话：0512-65283947</w:t>
            </w:r>
            <w:r/>
          </w:p>
        </w:tc>
      </w:tr>
    </w:tbl>
    <w:p>
      <w:pPr>
        <w:jc w:val="center"/>
        <w:spacing w:line="360" w:lineRule="auto"/>
        <w:rPr>
          <w:rFonts w:hint="eastAsia" w:ascii="宋体" w:hAnsi="宋体" w:eastAsia="宋体"/>
          <w:b/>
          <w:color w:val="auto"/>
          <w:sz w:val="48"/>
          <w:szCs w:val="48"/>
          <w:highlight w:val="none"/>
        </w:rPr>
      </w:pPr>
      <w:r>
        <w:rPr>
          <w:rFonts w:ascii="宋体" w:hAnsi="宋体" w:eastAsia="宋体"/>
          <w:color w:val="auto"/>
          <w:sz w:val="48"/>
          <w:szCs w:val="48"/>
          <w:highlight w:val="none"/>
        </w:rPr>
        <w:br w:type="page" w:clear="all"/>
      </w:r>
      <w:r>
        <w:rPr>
          <w:rFonts w:hint="eastAsia" w:ascii="宋体" w:hAnsi="宋体" w:eastAsia="宋体"/>
          <w:b/>
          <w:color w:val="auto"/>
          <w:sz w:val="48"/>
          <w:szCs w:val="48"/>
          <w:highlight w:val="none"/>
        </w:rPr>
        <w:t xml:space="preserve">总目录</w:t>
      </w:r>
      <w:r/>
    </w:p>
    <w:p>
      <w:pPr>
        <w:pStyle w:val="957"/>
        <w:tabs>
          <w:tab w:val="right" w:pos="8754" w:leader="dot"/>
        </w:tabs>
      </w:pPr>
      <w:r>
        <w:rPr>
          <w:rFonts w:ascii="宋体" w:hAnsi="宋体" w:eastAsia="宋体"/>
          <w:b/>
          <w:bCs/>
          <w:color w:val="auto"/>
          <w:szCs w:val="24"/>
          <w:highlight w:val="none"/>
        </w:rPr>
        <w:fldChar w:fldCharType="begin"/>
      </w:r>
      <w:r>
        <w:rPr>
          <w:rFonts w:ascii="宋体" w:hAnsi="宋体" w:eastAsia="宋体"/>
          <w:b/>
          <w:bCs/>
          <w:color w:val="auto"/>
          <w:szCs w:val="24"/>
          <w:highlight w:val="none"/>
        </w:rPr>
        <w:instrText xml:space="preserve"> TOC \o "1-1" </w:instrText>
      </w:r>
      <w:r>
        <w:rPr>
          <w:rFonts w:ascii="宋体" w:hAnsi="宋体" w:eastAsia="宋体"/>
          <w:b/>
          <w:bCs/>
          <w:color w:val="auto"/>
          <w:szCs w:val="24"/>
          <w:highlight w:val="none"/>
        </w:rPr>
        <w:fldChar w:fldCharType="separate"/>
      </w:r>
      <w:r>
        <w:rPr>
          <w:rFonts w:hint="eastAsia" w:ascii="宋体" w:hAnsi="宋体" w:eastAsia="宋体"/>
          <w:color w:val="auto"/>
          <w:highlight w:val="none"/>
        </w:rPr>
        <w:t xml:space="preserve">第一章</w:t>
      </w:r>
      <w:r>
        <w:rPr>
          <w:rFonts w:ascii="宋体" w:hAnsi="宋体" w:eastAsia="宋体"/>
          <w:color w:val="auto"/>
          <w:highlight w:val="none"/>
        </w:rPr>
        <w:t xml:space="preserve"> </w:t>
      </w:r>
      <w:r>
        <w:rPr>
          <w:rFonts w:hint="eastAsia" w:ascii="宋体" w:hAnsi="宋体" w:eastAsia="宋体"/>
          <w:color w:val="auto"/>
          <w:highlight w:val="none"/>
        </w:rPr>
        <w:t xml:space="preserve">采购公告</w:t>
      </w:r>
      <w:r>
        <w:tab/>
      </w:r>
      <w:r>
        <w:fldChar w:fldCharType="begin"/>
      </w:r>
      <w:r>
        <w:instrText xml:space="preserve"> PAGEREF _Toc11838 \h </w:instrText>
      </w:r>
      <w:r>
        <w:fldChar w:fldCharType="separate"/>
      </w:r>
      <w:r>
        <w:t xml:space="preserve">3</w:t>
      </w:r>
      <w:r>
        <w:fldChar w:fldCharType="end"/>
      </w:r>
      <w:r/>
    </w:p>
    <w:p>
      <w:pPr>
        <w:pStyle w:val="957"/>
        <w:tabs>
          <w:tab w:val="right" w:pos="8754" w:leader="dot"/>
        </w:tabs>
      </w:pPr>
      <w:r>
        <w:rPr>
          <w:rFonts w:hint="eastAsia" w:ascii="宋体" w:hAnsi="宋体" w:eastAsia="宋体"/>
          <w:color w:val="auto"/>
          <w:highlight w:val="none"/>
        </w:rPr>
        <w:t xml:space="preserve">第二章 供应商须知</w:t>
      </w:r>
      <w:r>
        <w:tab/>
      </w:r>
      <w:r>
        <w:fldChar w:fldCharType="begin"/>
      </w:r>
      <w:r>
        <w:instrText xml:space="preserve"> PAGEREF _Toc21621 \h </w:instrText>
      </w:r>
      <w:r>
        <w:fldChar w:fldCharType="separate"/>
      </w:r>
      <w:r>
        <w:t xml:space="preserve">9</w:t>
      </w:r>
      <w:r>
        <w:fldChar w:fldCharType="end"/>
      </w:r>
      <w:r/>
    </w:p>
    <w:p>
      <w:pPr>
        <w:pStyle w:val="957"/>
        <w:tabs>
          <w:tab w:val="right" w:pos="8754" w:leader="dot"/>
        </w:tabs>
      </w:pP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rPr>
        <w:t xml:space="preserve">投标（响应）文件格式</w:t>
      </w:r>
      <w:r>
        <w:tab/>
      </w:r>
      <w:r>
        <w:fldChar w:fldCharType="begin"/>
      </w:r>
      <w:r>
        <w:instrText xml:space="preserve"> PAGEREF _Toc5947 \h </w:instrText>
      </w:r>
      <w:r>
        <w:fldChar w:fldCharType="separate"/>
      </w:r>
      <w:r>
        <w:t xml:space="preserve">28</w:t>
      </w:r>
      <w:r>
        <w:fldChar w:fldCharType="end"/>
      </w:r>
      <w:r/>
    </w:p>
    <w:p>
      <w:pPr>
        <w:pStyle w:val="957"/>
        <w:tabs>
          <w:tab w:val="right" w:pos="8754" w:leader="dot"/>
        </w:tabs>
      </w:pPr>
      <w:r>
        <w:rPr>
          <w:rFonts w:hint="eastAsia" w:ascii="宋体" w:hAnsi="宋体" w:eastAsia="宋体"/>
          <w:color w:val="auto"/>
          <w:highlight w:val="none"/>
        </w:rPr>
        <w:t xml:space="preserve">第四章 采购内容</w:t>
      </w:r>
      <w:r>
        <w:tab/>
      </w:r>
      <w:r>
        <w:fldChar w:fldCharType="begin"/>
      </w:r>
      <w:r>
        <w:instrText xml:space="preserve"> PAGEREF _Toc19542 \h </w:instrText>
      </w:r>
      <w:r>
        <w:fldChar w:fldCharType="separate"/>
      </w:r>
      <w:r>
        <w:t xml:space="preserve">47</w:t>
      </w:r>
      <w:r>
        <w:fldChar w:fldCharType="end"/>
      </w:r>
      <w:r/>
    </w:p>
    <w:p>
      <w:pPr>
        <w:pStyle w:val="957"/>
        <w:tabs>
          <w:tab w:val="right" w:pos="8754" w:leader="dot"/>
        </w:tabs>
      </w:pPr>
      <w:r>
        <w:rPr>
          <w:rFonts w:hint="eastAsia" w:ascii="宋体" w:hAnsi="宋体" w:eastAsia="宋体"/>
          <w:color w:val="auto"/>
          <w:highlight w:val="none"/>
        </w:rPr>
        <w:t xml:space="preserve">第五章</w:t>
      </w:r>
      <w:r>
        <w:rPr>
          <w:rFonts w:ascii="宋体" w:hAnsi="宋体" w:eastAsia="宋体"/>
          <w:color w:val="auto"/>
          <w:highlight w:val="none"/>
        </w:rPr>
        <w:t xml:space="preserve"> </w:t>
      </w:r>
      <w:r>
        <w:rPr>
          <w:rFonts w:hint="eastAsia" w:ascii="宋体" w:hAnsi="宋体" w:eastAsia="宋体"/>
          <w:color w:val="auto"/>
          <w:highlight w:val="none"/>
        </w:rPr>
        <w:t xml:space="preserve">合同主要条款</w:t>
      </w:r>
      <w:r>
        <w:tab/>
      </w:r>
      <w:r>
        <w:fldChar w:fldCharType="begin"/>
      </w:r>
      <w:r>
        <w:instrText xml:space="preserve"> PAGEREF _Toc7087 \h </w:instrText>
      </w:r>
      <w:r>
        <w:fldChar w:fldCharType="separate"/>
      </w:r>
      <w:r>
        <w:t xml:space="preserve">51</w:t>
      </w:r>
      <w:r>
        <w:fldChar w:fldCharType="end"/>
      </w:r>
      <w:r/>
    </w:p>
    <w:p>
      <w:pPr>
        <w:pStyle w:val="957"/>
        <w:tabs>
          <w:tab w:val="right" w:pos="8754" w:leader="dot"/>
        </w:tabs>
      </w:pPr>
      <w:r>
        <w:rPr>
          <w:rFonts w:hint="eastAsia" w:ascii="宋体" w:hAnsi="宋体" w:eastAsia="宋体"/>
          <w:color w:val="auto"/>
          <w:highlight w:val="none"/>
        </w:rPr>
        <w:t xml:space="preserve">第六章 评审办法</w:t>
      </w:r>
      <w:r>
        <w:tab/>
      </w:r>
      <w:r>
        <w:fldChar w:fldCharType="begin"/>
      </w:r>
      <w:r>
        <w:instrText xml:space="preserve"> PAGEREF _Toc27864 \h </w:instrText>
      </w:r>
      <w:r>
        <w:fldChar w:fldCharType="separate"/>
      </w:r>
      <w:r>
        <w:t xml:space="preserve">58</w:t>
      </w:r>
      <w:r>
        <w:fldChar w:fldCharType="end"/>
      </w:r>
      <w:r/>
    </w:p>
    <w:p>
      <w:pPr>
        <w:pStyle w:val="957"/>
        <w:tabs>
          <w:tab w:val="right" w:pos="8754" w:leader="dot"/>
        </w:tabs>
      </w:pPr>
      <w:r>
        <w:rPr>
          <w:rFonts w:hint="eastAsia" w:ascii="宋体" w:hAnsi="宋体" w:eastAsia="宋体"/>
          <w:color w:val="auto"/>
          <w:highlight w:val="none"/>
        </w:rPr>
        <w:t xml:space="preserve">第七章 附件</w:t>
      </w:r>
      <w:r>
        <w:tab/>
      </w:r>
      <w:r>
        <w:fldChar w:fldCharType="begin"/>
      </w:r>
      <w:r>
        <w:instrText xml:space="preserve"> PAGEREF _Toc23086 \h </w:instrText>
      </w:r>
      <w:r>
        <w:fldChar w:fldCharType="separate"/>
      </w:r>
      <w:r>
        <w:t xml:space="preserve">66</w:t>
      </w:r>
      <w:r>
        <w:fldChar w:fldCharType="end"/>
      </w:r>
      <w:r/>
    </w:p>
    <w:p>
      <w:pPr>
        <w:pStyle w:val="965"/>
        <w:ind w:firstLine="0"/>
        <w:jc w:val="center"/>
        <w:spacing w:line="360" w:lineRule="auto"/>
        <w:rPr>
          <w:rFonts w:hint="eastAsia" w:ascii="宋体" w:hAnsi="宋体" w:eastAsia="宋体"/>
          <w:b/>
          <w:color w:val="auto"/>
          <w:sz w:val="30"/>
          <w:szCs w:val="30"/>
          <w:highlight w:val="none"/>
        </w:rPr>
      </w:pPr>
      <w:r>
        <w:rPr>
          <w:rFonts w:ascii="宋体" w:hAnsi="宋体" w:eastAsia="宋体"/>
          <w:bCs/>
          <w:color w:val="auto"/>
          <w:szCs w:val="24"/>
          <w:highlight w:val="none"/>
        </w:rPr>
        <w:fldChar w:fldCharType="end"/>
      </w:r>
      <w:bookmarkStart w:id="46" w:name="_GoBack"/>
      <w:r/>
      <w:bookmarkEnd w:id="46"/>
      <w:r>
        <w:rPr>
          <w:color w:val="auto"/>
          <w:highlight w:val="none"/>
        </w:rPr>
        <w:br w:type="page" w:clear="all"/>
      </w:r>
      <w:r/>
    </w:p>
    <w:p>
      <w:pPr>
        <w:pStyle w:val="965"/>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65"/>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65"/>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65"/>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65"/>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65"/>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65"/>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66"/>
        <w:jc w:val="center"/>
        <w:spacing w:before="0" w:after="0" w:line="360" w:lineRule="auto"/>
        <w:rPr>
          <w:rFonts w:hint="eastAsia" w:ascii="宋体" w:hAnsi="宋体" w:eastAsia="宋体"/>
          <w:color w:val="auto"/>
          <w:sz w:val="52"/>
          <w:highlight w:val="none"/>
        </w:rPr>
      </w:pPr>
      <w:r/>
      <w:bookmarkStart w:id="1" w:name="_Toc11838"/>
      <w:r>
        <w:rPr>
          <w:rFonts w:hint="eastAsia" w:ascii="宋体" w:hAnsi="宋体" w:eastAsia="宋体"/>
          <w:color w:val="auto"/>
          <w:sz w:val="52"/>
          <w:highlight w:val="none"/>
        </w:rPr>
        <w:t xml:space="preserve">第一章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采购公告</w:t>
      </w:r>
      <w:bookmarkEnd w:id="1"/>
      <w:r/>
      <w:r/>
    </w:p>
    <w:p>
      <w:pPr>
        <w:ind w:firstLine="480"/>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br w:type="page" w:clear="all"/>
      </w:r>
      <w:r/>
    </w:p>
    <w:tbl>
      <w:tblPr>
        <w:tblStyle w:val="948"/>
        <w:tblW w:w="8306"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58"/>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pStyle w:val="958"/>
              <w:ind w:firstLine="480"/>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甪直镇居民意外综合保险 </w:t>
            </w:r>
            <w:r>
              <w:rPr>
                <w:rFonts w:hint="eastAsia" w:ascii="宋体" w:hAnsi="宋体" w:eastAsia="宋体"/>
                <w:color w:val="auto"/>
                <w:szCs w:val="22"/>
                <w:highlight w:val="none"/>
                <w:lang w:eastAsia="zh-CN"/>
              </w:rPr>
              <w:t xml:space="preserve">JSZC-320506-SZCH-C2025-0121</w:t>
            </w:r>
            <w:r>
              <w:rPr>
                <w:rFonts w:hint="eastAsia" w:ascii="宋体" w:hAnsi="宋体" w:eastAsia="宋体"/>
                <w:color w:val="auto"/>
                <w:szCs w:val="22"/>
                <w:highlight w:val="none"/>
              </w:rPr>
              <w:t xml:space="preserve"> 采购项目的潜在供应商应在江苏省政府采购一体化平台“苏采云”系统 获取采购文件，并于2026-1-23 13:30 （北京时间）前提交响应文件</w:t>
            </w:r>
            <w:r>
              <w:rPr>
                <w:rFonts w:hint="eastAsia" w:ascii="宋体" w:hAnsi="宋体" w:eastAsia="宋体" w:cs="宋体"/>
                <w:color w:val="auto"/>
                <w:highlight w:val="none"/>
              </w:rPr>
              <w:t xml:space="preserve">。</w:t>
            </w:r>
            <w:r/>
          </w:p>
        </w:tc>
      </w:tr>
    </w:tbl>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一、项目基本情况</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shd w:val="clear" w:color="auto" w:fill="ffffff"/>
        </w:rPr>
        <w:t xml:space="preserve">项目编号：</w:t>
      </w:r>
      <w:r>
        <w:rPr>
          <w:rFonts w:hint="eastAsia" w:ascii="宋体" w:hAnsi="宋体" w:eastAsia="宋体" w:cs="宋体"/>
          <w:color w:val="auto"/>
          <w:szCs w:val="24"/>
          <w:highlight w:val="none"/>
          <w:shd w:val="clear" w:color="auto" w:fill="ffffff"/>
          <w:lang w:eastAsia="zh-CN"/>
        </w:rPr>
        <w:t xml:space="preserve">JSZC-320506-SZCH-C2025-0121</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项目名称：</w:t>
      </w:r>
      <w:r>
        <w:rPr>
          <w:rFonts w:hint="eastAsia" w:ascii="宋体" w:hAnsi="宋体" w:eastAsia="宋体" w:cs="宋体"/>
          <w:color w:val="auto"/>
          <w:highlight w:val="none"/>
        </w:rPr>
        <w:t xml:space="preserve">甪直镇居民意外综合保险</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采购方式：竞争性磋商</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预算金额：56.000000万元</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最高限价（如有）：人民币（大写）：伍拾陆万元整 人民币（小写）：¥560,000.00</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采购需求：具体内容详见采购文件。</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合同履行期限：1年，具体保险期间以保单所载为准。</w:t>
      </w:r>
      <w:r/>
    </w:p>
    <w:p>
      <w:pPr>
        <w:pStyle w:val="958"/>
        <w:ind w:firstLine="482"/>
        <w:spacing w:beforeAutospacing="0" w:afterAutospacing="0" w:line="360" w:lineRule="auto"/>
        <w:shd w:val="clear" w:color="auto" w:fill="ffffff"/>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shd w:val="clear" w:color="auto" w:fill="ffffff"/>
        </w:rPr>
        <w:t xml:space="preserve">本项目（是/否）接受联合体：否</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二、申请人的资格要求：</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（一）满足《中华人民共和国政府采购法》第二十二条规定：</w:t>
      </w:r>
      <w:r/>
    </w:p>
    <w:p>
      <w:pPr>
        <w:pStyle w:val="958"/>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1.具有独立承担民事责任的能力；</w:t>
      </w:r>
      <w:r/>
    </w:p>
    <w:p>
      <w:pPr>
        <w:pStyle w:val="958"/>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2.具有良好的商业信誉和健全的财务会计制度；</w:t>
      </w:r>
      <w:r/>
    </w:p>
    <w:p>
      <w:pPr>
        <w:pStyle w:val="958"/>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3.具有履行合同所必需的设备和专业技术能力；</w:t>
      </w:r>
      <w:r/>
    </w:p>
    <w:p>
      <w:pPr>
        <w:pStyle w:val="958"/>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4.有依法缴纳税收和社会保障资金的良好记录；</w:t>
      </w:r>
      <w:r/>
    </w:p>
    <w:p>
      <w:pPr>
        <w:pStyle w:val="958"/>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5.参加政府采购活动前三年内，在经营活动中没有重大违法记录；</w:t>
      </w:r>
      <w:r/>
    </w:p>
    <w:p>
      <w:pPr>
        <w:pStyle w:val="958"/>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6.法律、行政法规规定的其他条件。</w:t>
      </w:r>
      <w:r/>
    </w:p>
    <w:p>
      <w:pPr>
        <w:pStyle w:val="958"/>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pStyle w:val="949"/>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本项目无落实政府采购政策需满足的资格要求。</w:t>
      </w:r>
      <w:r/>
    </w:p>
    <w:p>
      <w:pPr>
        <w:pStyle w:val="958"/>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（三）本项目的特定资格要求：</w:t>
      </w:r>
      <w:r/>
    </w:p>
    <w:p>
      <w:pPr>
        <w:pStyle w:val="958"/>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szCs w:val="24"/>
          <w:highlight w:val="none"/>
          <w:shd w:val="clear" w:color="auto" w:fill="ffffff"/>
        </w:rPr>
        <w:t xml:space="preserve">1、未被“信用中国”网站（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hint="eastAsia" w:ascii="宋体" w:hAnsi="宋体" w:eastAsia="宋体" w:cs="宋体"/>
          <w:color w:val="auto"/>
          <w:szCs w:val="24"/>
          <w:highlight w:val="none"/>
          <w:shd w:val="clear" w:color="auto" w:fill="ffffff"/>
        </w:rPr>
        <w:t xml:space="preserve">www.creditchina.gov.cn</w:t>
      </w:r>
      <w:r>
        <w:rPr>
          <w:rFonts w:hint="eastAsia" w:ascii="宋体" w:hAnsi="宋体" w:eastAsia="宋体" w:cs="宋体"/>
          <w:color w:val="auto"/>
          <w:szCs w:val="24"/>
          <w:highlight w:val="none"/>
          <w:shd w:val="clear" w:color="auto" w:fill="ffffff"/>
        </w:rPr>
        <w:fldChar w:fldCharType="end"/>
      </w:r>
      <w:r>
        <w:rPr>
          <w:rFonts w:hint="eastAsia" w:ascii="宋体" w:hAnsi="宋体" w:eastAsia="宋体" w:cs="宋体"/>
          <w:color w:val="auto"/>
          <w:szCs w:val="24"/>
          <w:highlight w:val="none"/>
          <w:shd w:val="clear" w:color="auto" w:fill="ffffff"/>
        </w:rPr>
        <w:t xml:space="preserve">）列入失信被执行人、重大税收违法案件当事人名单、</w:t>
      </w:r>
      <w:r>
        <w:rPr>
          <w:rFonts w:hint="eastAsia" w:ascii="宋体" w:hAnsi="宋体" w:eastAsia="宋体" w:cs="宋体"/>
          <w:color w:val="auto"/>
          <w:highlight w:val="none"/>
        </w:rPr>
        <w:t xml:space="preserve">政府采购严重失信行为记录名单。</w:t>
      </w:r>
      <w:r/>
    </w:p>
    <w:p>
      <w:pPr>
        <w:pStyle w:val="958"/>
        <w:ind w:firstLine="48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响应单位具备有效期内的《保险许可证》，须为国家金融监督管理总局（原中国（银行）保险监督管理委员会）批准设立的保险公司或其分支机构。同一保险公司有两个及两个以上的下属分支机构同时参加本项目响应的，则其响应文件均按无效响应文件处理。</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三、获取采购文件</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时间：自采购文件公告发布之日起5个工作日</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地点：江苏省政府采购一体化平台“苏采云”系统</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color w:val="auto"/>
          <w:szCs w:val="24"/>
          <w:highlight w:val="none"/>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售价：0.00元</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四、响应文件提交</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截止时间：2026-1-23 13:30（北京时间）</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五、开启</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时间：2026-1-23 13:30（北京时间）</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六、公告期限</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七、其他补充事宜</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4、CA证书办理</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w:t>
      </w:r>
      <w:r>
        <w:rPr>
          <w:rFonts w:hint="eastAsia" w:ascii="宋体" w:hAnsi="宋体" w:eastAsia="宋体" w:cs="宋体"/>
          <w:color w:val="auto"/>
          <w:sz w:val="24"/>
          <w:szCs w:val="24"/>
          <w:highlight w:val="none"/>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7、如不同投标（响应）文件制作机器码一致，则投标（响应）无效。</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8、制作电子投标（响应）文件：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本项目采用电子</w:t>
      </w:r>
      <w:r>
        <w:rPr>
          <w:rFonts w:hint="eastAsia" w:ascii="宋体" w:hAnsi="宋体" w:eastAsia="宋体" w:cs="宋体"/>
          <w:color w:val="auto"/>
          <w:sz w:val="24"/>
          <w:szCs w:val="24"/>
          <w:highlight w:val="none"/>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11、技术支持：</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电子签章技术咨询服务电话：025-83633811、025-83633812、15380932027、15371015030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rPr>
        <w:t xml:space="preserve">其他未列明行业</w:t>
      </w:r>
      <w:r>
        <w:rPr>
          <w:rFonts w:hint="eastAsia" w:ascii="宋体" w:hAnsi="宋体" w:eastAsia="宋体" w:cs="宋体"/>
          <w:color w:val="auto"/>
          <w:sz w:val="24"/>
          <w:szCs w:val="24"/>
          <w:highlight w:val="none"/>
          <w:shd w:val="clear" w:color="auto" w:fill="ffffff"/>
          <w:lang w:bidi="ar"/>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13、本项目支持政府采购合同信用融资。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14、</w:t>
      </w:r>
      <w:r>
        <w:rPr>
          <w:rFonts w:hint="eastAsia" w:ascii="宋体" w:hAnsi="宋体" w:eastAsia="宋体" w:cs="宋体"/>
          <w:color w:val="auto"/>
          <w:sz w:val="24"/>
          <w:szCs w:val="24"/>
          <w:highlight w:val="none"/>
        </w:rPr>
        <w:t xml:space="preserve">苏州市吴中区区政府采购监督电话：0512-65283947。</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1、采购人信息</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单位名称：苏州市吴中区甪直镇人民政府</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单位地址：苏州市吴中区甪直镇鸣市路21号</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联系人：</w:t>
      </w:r>
      <w:r>
        <w:rPr>
          <w:rFonts w:hint="eastAsia" w:ascii="宋体" w:hAnsi="宋体" w:eastAsia="宋体" w:cs="宋体"/>
          <w:color w:val="auto"/>
          <w:szCs w:val="24"/>
          <w:highlight w:val="none"/>
        </w:rPr>
        <w:t xml:space="preserve">吴平</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联系电话：</w:t>
      </w:r>
      <w:r>
        <w:rPr>
          <w:rFonts w:hint="eastAsia" w:ascii="宋体" w:hAnsi="宋体" w:eastAsia="宋体" w:cs="宋体"/>
          <w:color w:val="auto"/>
          <w:szCs w:val="24"/>
          <w:highlight w:val="none"/>
        </w:rPr>
        <w:t xml:space="preserve">0512-66026887</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2、采购代理机构信息</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单位名称：苏州诚和招投标咨询有限公司</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单位地址：苏州市竹辉路477号</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联系人：</w:t>
      </w:r>
      <w:r>
        <w:rPr>
          <w:rFonts w:hint="eastAsia" w:ascii="宋体" w:hAnsi="宋体" w:eastAsia="宋体" w:cs="宋体"/>
          <w:color w:val="auto"/>
          <w:szCs w:val="24"/>
          <w:highlight w:val="none"/>
        </w:rPr>
        <w:t xml:space="preserve">沈川渝、邬汝超、张萱</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联系电话：</w:t>
      </w:r>
      <w:r>
        <w:rPr>
          <w:rFonts w:hint="eastAsia" w:ascii="宋体" w:hAnsi="宋体" w:eastAsia="宋体" w:cs="宋体"/>
          <w:color w:val="auto"/>
          <w:szCs w:val="24"/>
          <w:highlight w:val="none"/>
        </w:rPr>
        <w:t xml:space="preserve">0512-65161672、0512-65161797</w:t>
      </w:r>
      <w:r/>
    </w:p>
    <w:p>
      <w:pPr>
        <w:pStyle w:val="958"/>
        <w:ind w:firstLine="480"/>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3.项目联系方式</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项目联系人：</w:t>
      </w:r>
      <w:r>
        <w:rPr>
          <w:rFonts w:hint="eastAsia" w:ascii="宋体" w:hAnsi="宋体" w:eastAsia="宋体" w:cs="宋体"/>
          <w:color w:val="auto"/>
          <w:szCs w:val="24"/>
          <w:highlight w:val="none"/>
        </w:rPr>
        <w:t xml:space="preserve">沈川渝、邬汝超、张萱</w:t>
      </w:r>
      <w:r/>
    </w:p>
    <w:p>
      <w:pPr>
        <w:pStyle w:val="958"/>
        <w:ind w:firstLine="48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电话：</w:t>
      </w:r>
      <w:r>
        <w:rPr>
          <w:rFonts w:hint="eastAsia" w:ascii="宋体" w:hAnsi="宋体" w:eastAsia="宋体" w:cs="宋体"/>
          <w:color w:val="auto"/>
          <w:szCs w:val="24"/>
          <w:highlight w:val="none"/>
        </w:rPr>
        <w:t xml:space="preserve">0512-65161672、0512-65161797</w:t>
      </w:r>
      <w:r/>
    </w:p>
    <w:p>
      <w:pPr>
        <w:rPr>
          <w:color w:val="auto"/>
          <w:highlight w:val="none"/>
        </w:rPr>
      </w:pPr>
      <w:r>
        <w:rPr>
          <w:color w:val="auto"/>
          <w:highlight w:val="none"/>
        </w:rPr>
        <w:br w:type="page" w:clear="all"/>
      </w:r>
      <w:r/>
    </w:p>
    <w:p>
      <w:pPr>
        <w:jc w:val="center"/>
        <w:keepLines/>
        <w:keepNext/>
        <w:spacing w:line="579" w:lineRule="auto"/>
        <w:rPr>
          <w:rFonts w:hint="eastAsia" w:ascii="宋体" w:hAnsi="宋体" w:eastAsia="宋体"/>
          <w:color w:val="auto"/>
          <w:sz w:val="52"/>
          <w:highlight w:val="none"/>
        </w:rPr>
      </w:pPr>
      <w:r/>
      <w:bookmarkStart w:id="2" w:name="_Toc8100"/>
      <w:r/>
      <w:r/>
    </w:p>
    <w:p>
      <w:pPr>
        <w:jc w:val="center"/>
        <w:keepLines/>
        <w:keepNext/>
        <w:spacing w:line="579" w:lineRule="auto"/>
        <w:rPr>
          <w:rFonts w:hint="eastAsia" w:ascii="宋体" w:hAnsi="宋体" w:eastAsia="宋体"/>
          <w:color w:val="auto"/>
          <w:sz w:val="52"/>
          <w:highlight w:val="none"/>
        </w:rPr>
      </w:pPr>
      <w:r>
        <w:rPr>
          <w:rFonts w:hint="eastAsia" w:ascii="宋体" w:hAnsi="宋体" w:eastAsia="宋体"/>
          <w:color w:val="auto"/>
          <w:sz w:val="52"/>
          <w:highlight w:val="none"/>
        </w:rPr>
      </w:r>
      <w:r/>
    </w:p>
    <w:p>
      <w:pPr>
        <w:jc w:val="center"/>
        <w:keepLines/>
        <w:keepNext/>
        <w:spacing w:line="579" w:lineRule="auto"/>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945"/>
        <w:jc w:val="center"/>
        <w:spacing w:before="0" w:after="0" w:line="360" w:lineRule="auto"/>
        <w:rPr>
          <w:rFonts w:hint="eastAsia" w:ascii="宋体" w:hAnsi="宋体" w:eastAsia="宋体"/>
          <w:color w:val="auto"/>
          <w:sz w:val="52"/>
          <w:highlight w:val="none"/>
        </w:rPr>
      </w:pPr>
      <w:r/>
      <w:bookmarkStart w:id="3" w:name="_Toc21621"/>
      <w:r>
        <w:rPr>
          <w:rFonts w:hint="eastAsia" w:ascii="宋体" w:hAnsi="宋体" w:eastAsia="宋体"/>
          <w:color w:val="auto"/>
          <w:sz w:val="52"/>
          <w:highlight w:val="none"/>
        </w:rPr>
        <w:t xml:space="preserve">第二章 供应商须知</w:t>
      </w:r>
      <w:bookmarkEnd w:id="2"/>
      <w:r/>
      <w:bookmarkEnd w:id="3"/>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ind w:firstLine="482"/>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A.说明和释义</w:t>
      </w:r>
      <w:r/>
    </w:p>
    <w:p>
      <w:pPr>
        <w:ind w:firstLine="480"/>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说明</w:t>
      </w:r>
      <w:r/>
    </w:p>
    <w:p>
      <w:pPr>
        <w:pStyle w:val="95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本采购文件仅适用于</w:t>
      </w:r>
      <w:bookmarkStart w:id="4" w:name="_Hlk193371863"/>
      <w:r>
        <w:rPr>
          <w:rFonts w:hint="eastAsia" w:ascii="宋体" w:hAnsi="宋体" w:eastAsia="宋体"/>
          <w:color w:val="auto"/>
          <w:szCs w:val="24"/>
          <w:highlight w:val="none"/>
        </w:rPr>
        <w:t xml:space="preserve">苏州诚和招投标咨询有限公司</w:t>
      </w:r>
      <w:bookmarkEnd w:id="4"/>
      <w:r>
        <w:rPr>
          <w:rFonts w:hint="eastAsia" w:ascii="宋体" w:hAnsi="宋体" w:eastAsia="宋体"/>
          <w:color w:val="auto"/>
          <w:szCs w:val="24"/>
          <w:highlight w:val="none"/>
        </w:rPr>
        <w:t xml:space="preserve">组织的采购活动。</w:t>
      </w:r>
      <w:r/>
    </w:p>
    <w:p>
      <w:pPr>
        <w:pStyle w:val="95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本次采购活动及因本次采购产生的合同受中国法律制约和保护。</w:t>
      </w:r>
      <w:r/>
    </w:p>
    <w:p>
      <w:pPr>
        <w:pStyle w:val="95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本采购文件的解释权属于</w:t>
      </w:r>
      <w:bookmarkStart w:id="5" w:name="_Hlk193371880"/>
      <w:r>
        <w:rPr>
          <w:rFonts w:hint="eastAsia" w:ascii="宋体" w:hAnsi="宋体" w:eastAsia="宋体"/>
          <w:color w:val="auto"/>
          <w:szCs w:val="24"/>
          <w:highlight w:val="none"/>
        </w:rPr>
        <w:t xml:space="preserve">苏州诚和招投标咨询有限公司</w:t>
      </w:r>
      <w:bookmarkEnd w:id="5"/>
      <w:r>
        <w:rPr>
          <w:rFonts w:hint="eastAsia" w:ascii="宋体" w:hAnsi="宋体" w:eastAsia="宋体"/>
          <w:color w:val="auto"/>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采购人：指依法进行政府采购的国家机关、事业单位、团体组织。</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3供应商：</w:t>
      </w:r>
      <w:r>
        <w:rPr>
          <w:rFonts w:ascii="宋体" w:hAnsi="宋体" w:eastAsia="宋体"/>
          <w:color w:val="auto"/>
          <w:sz w:val="24"/>
          <w:szCs w:val="24"/>
          <w:highlight w:val="none"/>
          <w:shd w:val="clear" w:color="auto" w:fill="ffffff"/>
        </w:rPr>
        <w:t xml:space="preserve">指响应招标、参加投标竞争的法人、其他组织或者自然人。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4响应：供应商根据采购人或采购代理机构发布的采购文件，编制投标文件并按规定投标的行为。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6甲方（采购人）：合同中明确规定的实际购买货物和服务的法人或其他组织和自然人。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7乙方（供应商）：合同中规定的向采购人提供货物和服务的法人或其他组织和自然人。</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8</w:t>
      </w:r>
      <w:r>
        <w:rPr>
          <w:rFonts w:ascii="宋体" w:hAnsi="宋体" w:eastAsia="宋体"/>
          <w:color w:val="auto"/>
          <w:sz w:val="24"/>
          <w:szCs w:val="24"/>
          <w:highlight w:val="none"/>
          <w:shd w:val="clear" w:color="auto" w:fill="ffffff"/>
        </w:rPr>
        <w:t xml:space="preserve">货物</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方按</w:t>
      </w:r>
      <w:r>
        <w:rPr>
          <w:rFonts w:hint="eastAsia" w:ascii="宋体" w:hAnsi="宋体" w:eastAsia="宋体"/>
          <w:color w:val="auto"/>
          <w:sz w:val="24"/>
          <w:szCs w:val="24"/>
          <w:highlight w:val="none"/>
          <w:shd w:val="clear" w:color="auto" w:fill="ffffff"/>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应</w:t>
      </w:r>
      <w:r>
        <w:rPr>
          <w:rFonts w:ascii="宋体" w:hAnsi="宋体" w:eastAsia="宋体"/>
          <w:color w:val="auto"/>
          <w:sz w:val="24"/>
          <w:szCs w:val="24"/>
          <w:highlight w:val="none"/>
          <w:shd w:val="clear" w:color="auto" w:fill="ffffff"/>
        </w:rPr>
        <w:t xml:space="preserve">向</w:t>
      </w:r>
      <w:r>
        <w:rPr>
          <w:rFonts w:hint="eastAsia" w:ascii="宋体" w:hAnsi="宋体" w:eastAsia="宋体"/>
          <w:color w:val="auto"/>
          <w:sz w:val="24"/>
          <w:szCs w:val="24"/>
          <w:highlight w:val="none"/>
          <w:shd w:val="clear" w:color="auto" w:fill="ffffff"/>
        </w:rPr>
        <w:t xml:space="preserve">甲</w:t>
      </w:r>
      <w:r>
        <w:rPr>
          <w:rFonts w:ascii="宋体" w:hAnsi="宋体" w:eastAsia="宋体"/>
          <w:color w:val="auto"/>
          <w:sz w:val="24"/>
          <w:szCs w:val="24"/>
          <w:highlight w:val="none"/>
          <w:shd w:val="clear" w:color="auto" w:fill="ffffff"/>
        </w:rPr>
        <w:t xml:space="preserve">方提供的一切设备、备品、备件、工具、手册及其它有关技术资料和材料。</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2.9</w:t>
      </w:r>
      <w:r>
        <w:rPr>
          <w:rFonts w:ascii="宋体" w:hAnsi="宋体" w:eastAsia="宋体"/>
          <w:color w:val="auto"/>
          <w:sz w:val="24"/>
          <w:szCs w:val="24"/>
          <w:highlight w:val="none"/>
          <w:shd w:val="clear" w:color="auto" w:fill="ffffff"/>
        </w:rPr>
        <w:t xml:space="preserve">服务</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系指本次</w:t>
      </w:r>
      <w:r>
        <w:rPr>
          <w:rFonts w:hint="eastAsia" w:ascii="宋体" w:hAnsi="宋体" w:eastAsia="宋体"/>
          <w:color w:val="auto"/>
          <w:sz w:val="24"/>
          <w:szCs w:val="24"/>
          <w:highlight w:val="none"/>
          <w:shd w:val="clear" w:color="auto" w:fill="ffffff"/>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w:t>
      </w:r>
      <w:r>
        <w:rPr>
          <w:rFonts w:hint="eastAsia" w:ascii="宋体" w:hAnsi="宋体" w:eastAsia="宋体"/>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11天：日历天。</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2.12时间：除特别说明，均指北京时间。</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3交货地点：合同中明确约定的乙方提交的货物和服务最终到达地点。</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4合同价款：根据合同规定，乙方在正确地履行合同义务后甲方应支付乙方的价款。</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5产地：货物开采、生长、生产、最终制造、加工或提供服务的来源地。</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6不可抗力：不能预见、不能避免并且不能克服的客观情况。</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2.17</w:t>
      </w:r>
      <w:r>
        <w:rPr>
          <w:rFonts w:hint="eastAsia" w:ascii="宋体" w:hAnsi="宋体" w:eastAsia="宋体" w:cs="宋体"/>
          <w:color w:val="auto"/>
          <w:sz w:val="24"/>
          <w:szCs w:val="24"/>
          <w:highlight w:val="none"/>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eastAsia="宋体"/>
          <w:color w:val="auto"/>
          <w:sz w:val="24"/>
          <w:szCs w:val="24"/>
          <w:highlight w:val="none"/>
        </w:rPr>
        <w:t xml:space="preserve">书面形式：指书面文字、合同书、信件和传真等可以有形地表现所载内容的形式。</w:t>
      </w:r>
      <w:r/>
    </w:p>
    <w:p>
      <w:pPr>
        <w:ind w:firstLine="480"/>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eastAsia="宋体"/>
          <w:color w:val="auto"/>
          <w:sz w:val="24"/>
          <w:szCs w:val="24"/>
          <w:highlight w:val="none"/>
        </w:rPr>
        <w:t xml:space="preserve">核心产品：根据本项目技术构成、产品价格比重等合理确定的产品。</w:t>
      </w:r>
      <w:r/>
    </w:p>
    <w:p>
      <w:pPr>
        <w:ind w:firstLine="480"/>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eastAsia="宋体"/>
          <w:color w:val="auto"/>
          <w:sz w:val="24"/>
          <w:szCs w:val="24"/>
          <w:highlight w:val="none"/>
        </w:rPr>
        <w:t xml:space="preserve">进口产品：通过中国海关报关验放进入中国境内且产自关境外的产品。</w:t>
      </w:r>
      <w:r/>
    </w:p>
    <w:p>
      <w:pPr>
        <w:ind w:firstLine="480"/>
        <w:spacing w:line="360" w:lineRule="auto"/>
        <w:rPr>
          <w:rFonts w:eastAsia="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eastAsia="宋体"/>
          <w:color w:val="auto"/>
          <w:sz w:val="24"/>
          <w:szCs w:val="24"/>
          <w:highlight w:val="none"/>
        </w:rPr>
        <w:t xml:space="preserve">本国产品:符合</w:t>
      </w:r>
      <w:r>
        <w:rPr>
          <w:rFonts w:hint="eastAsia" w:eastAsia="宋体" w:cs="宋体"/>
          <w:color w:val="auto"/>
          <w:sz w:val="24"/>
          <w:szCs w:val="24"/>
          <w:highlight w:val="none"/>
          <w:lang w:val="zh-CN"/>
        </w:rPr>
        <w:t xml:space="preserve">《国务院办公厅关于在政府采购中实施本国产品标准及相关政策的通知》（国办发［2025］34号）规定</w:t>
      </w:r>
      <w:r>
        <w:rPr>
          <w:rFonts w:hint="eastAsia" w:eastAsia="宋体"/>
          <w:color w:val="auto"/>
          <w:sz w:val="24"/>
          <w:szCs w:val="24"/>
          <w:highlight w:val="none"/>
        </w:rPr>
        <w:t xml:space="preserve">的产品视为本国产品。</w:t>
      </w:r>
      <w:r/>
    </w:p>
    <w:p>
      <w:pPr>
        <w:ind w:firstLine="480"/>
        <w:spacing w:line="360" w:lineRule="auto"/>
        <w:rPr>
          <w:rFonts w:eastAsia="宋体"/>
          <w:color w:val="auto"/>
          <w:sz w:val="24"/>
          <w:highlight w:val="none"/>
        </w:rPr>
      </w:pPr>
      <w:r>
        <w:rPr>
          <w:rFonts w:hint="eastAsia" w:ascii="宋体" w:hAnsi="宋体" w:eastAsia="宋体" w:cs="宋体"/>
          <w:color w:val="auto"/>
          <w:sz w:val="24"/>
          <w:szCs w:val="24"/>
          <w:highlight w:val="none"/>
          <w:shd w:val="clear" w:color="auto" w:fill="ffffff"/>
        </w:rPr>
        <w:t xml:space="preserve">2.22</w:t>
      </w:r>
      <w:r>
        <w:rPr>
          <w:rFonts w:hint="eastAsia" w:eastAsia="宋体"/>
          <w:color w:val="auto"/>
          <w:sz w:val="24"/>
          <w:highlight w:val="none"/>
        </w:rPr>
        <w:t xml:space="preserve">采购本国货物、工程和服务：除有《中华人民共和国政府采购法》第十条规定情形之外，政府采购应当采购本国货物、工程和服务。</w:t>
      </w:r>
      <w:r/>
    </w:p>
    <w:p>
      <w:pPr>
        <w:ind w:firstLine="482"/>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B.供应商</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highlight w:val="none"/>
          <w:shd w:val="clear" w:color="auto" w:fill="ffffff"/>
        </w:rPr>
        <w:t xml:space="preserve">3.</w:t>
      </w:r>
      <w:bookmarkStart w:id="6" w:name="_Hlk193372078"/>
      <w:r>
        <w:rPr>
          <w:rStyle w:val="961"/>
          <w:rFonts w:hint="eastAsia" w:ascii="宋体" w:hAnsi="宋体" w:eastAsia="宋体" w:cs="宋体"/>
          <w:color w:val="auto"/>
          <w:sz w:val="24"/>
          <w:szCs w:val="24"/>
          <w:highlight w:val="none"/>
          <w:shd w:val="clear" w:color="auto" w:fill="ffffff"/>
        </w:rPr>
        <w:t xml:space="preserve">申请人的资格要求：</w:t>
      </w:r>
      <w:bookmarkEnd w:id="6"/>
      <w:r/>
      <w:r/>
    </w:p>
    <w:p>
      <w:pPr>
        <w:pStyle w:val="96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详见本项目采购公告中的“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4.供应商代表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指全权代表供应商参加磋商采购活动并签署投标（响应）文件的人，如果供应商代表不是法定代表人（负责人），须持有《法定代表人（负责人）授权委托书》（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5.磋商费用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无论磋商过程中的做法和结果如何，供应商自行承担所有与参加磋商有关的全部费用。</w:t>
      </w:r>
      <w:r/>
    </w:p>
    <w:p>
      <w:pPr>
        <w:ind w:firstLine="480"/>
        <w:spacing w:line="360" w:lineRule="auto"/>
        <w:rPr>
          <w:rFonts w:hint="eastAsia" w:ascii="宋体" w:hAnsi="宋体" w:eastAsia="宋体" w:cs="宋体"/>
          <w:b/>
          <w:bCs/>
          <w:color w:val="auto"/>
          <w:sz w:val="24"/>
          <w:szCs w:val="24"/>
          <w:highlight w:val="none"/>
        </w:rPr>
      </w:pPr>
      <w:r/>
      <w:bookmarkStart w:id="7" w:name="_Hlk193372378"/>
      <w:r>
        <w:rPr>
          <w:rFonts w:ascii="宋体" w:hAnsi="宋体" w:eastAsia="宋体" w:cs="宋体"/>
          <w:b/>
          <w:bCs/>
          <w:color w:val="auto"/>
          <w:sz w:val="24"/>
          <w:szCs w:val="24"/>
          <w:highlight w:val="none"/>
        </w:rPr>
        <w:t xml:space="preserve">6.联合投标（响应）</w:t>
      </w:r>
      <w:bookmarkEnd w:id="7"/>
      <w:r/>
      <w:r/>
    </w:p>
    <w:p>
      <w:pPr>
        <w:ind w:firstLine="480"/>
        <w:spacing w:line="360" w:lineRule="auto"/>
        <w:rPr>
          <w:rFonts w:hint="eastAsia" w:ascii="宋体" w:hAnsi="宋体" w:eastAsia="宋体" w:cs="宋体"/>
          <w:color w:val="auto"/>
          <w:sz w:val="24"/>
          <w:szCs w:val="24"/>
          <w:highlight w:val="none"/>
        </w:rPr>
      </w:pPr>
      <w:r/>
      <w:bookmarkStart w:id="8" w:name="_Hlk193372188"/>
      <w:r>
        <w:rPr>
          <w:rFonts w:hint="eastAsia" w:ascii="宋体" w:hAnsi="宋体" w:eastAsia="宋体" w:cs="宋体"/>
          <w:color w:val="auto"/>
          <w:sz w:val="24"/>
          <w:szCs w:val="24"/>
          <w:highlight w:val="none"/>
        </w:rPr>
        <w:t xml:space="preserve">6.1本项目不接受联合体投标（响应）。</w:t>
      </w:r>
      <w:bookmarkEnd w:id="8"/>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C.采购文件和投标（响应）文件的说明</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7.1采购文件由采购文件总目录所列</w:t>
      </w:r>
      <w:r>
        <w:rPr>
          <w:rFonts w:hint="eastAsia" w:ascii="宋体" w:hAnsi="宋体" w:eastAsia="宋体"/>
          <w:color w:val="auto"/>
          <w:sz w:val="24"/>
          <w:szCs w:val="24"/>
          <w:highlight w:val="none"/>
        </w:rPr>
        <w:t xml:space="preserve">内容组成，供应商获取</w:t>
      </w:r>
      <w:r>
        <w:rPr>
          <w:rFonts w:ascii="宋体" w:hAnsi="宋体" w:eastAsia="宋体"/>
          <w:color w:val="auto"/>
          <w:sz w:val="24"/>
          <w:szCs w:val="24"/>
          <w:highlight w:val="none"/>
        </w:rPr>
        <w:t xml:space="preserve">采购文件后，应仔细检查采购文件的所有内容，如有残缺等问题应在</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w:t>
      </w:r>
      <w:r>
        <w:rPr>
          <w:rFonts w:hint="eastAsia" w:ascii="宋体" w:hAnsi="宋体" w:eastAsia="宋体"/>
          <w:color w:val="auto"/>
          <w:sz w:val="24"/>
          <w:szCs w:val="24"/>
          <w:highlight w:val="none"/>
        </w:rPr>
        <w:t xml:space="preserve">后及时</w:t>
      </w:r>
      <w:r>
        <w:rPr>
          <w:rFonts w:ascii="宋体" w:hAnsi="宋体" w:eastAsia="宋体"/>
          <w:color w:val="auto"/>
          <w:sz w:val="24"/>
          <w:szCs w:val="24"/>
          <w:highlight w:val="none"/>
        </w:rPr>
        <w:t xml:space="preserve">向</w:t>
      </w:r>
      <w:r>
        <w:rPr>
          <w:rFonts w:hint="eastAsia" w:ascii="宋体" w:hAnsi="宋体" w:eastAsia="宋体"/>
          <w:color w:val="auto"/>
          <w:sz w:val="24"/>
          <w:szCs w:val="24"/>
          <w:highlight w:val="none"/>
        </w:rPr>
        <w:t xml:space="preserve">采购代理机构</w:t>
      </w:r>
      <w:r>
        <w:rPr>
          <w:rFonts w:ascii="宋体" w:hAnsi="宋体" w:eastAsia="宋体"/>
          <w:color w:val="auto"/>
          <w:sz w:val="24"/>
          <w:szCs w:val="24"/>
          <w:highlight w:val="none"/>
        </w:rPr>
        <w:t xml:space="preserve">提出，否则，由此</w:t>
      </w:r>
      <w:r>
        <w:rPr>
          <w:rFonts w:hint="eastAsia" w:ascii="宋体" w:hAnsi="宋体" w:eastAsia="宋体"/>
          <w:color w:val="auto"/>
          <w:sz w:val="24"/>
          <w:szCs w:val="24"/>
          <w:highlight w:val="none"/>
        </w:rPr>
        <w:t xml:space="preserve">产生</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影响</w:t>
      </w:r>
      <w:r>
        <w:rPr>
          <w:rFonts w:ascii="宋体" w:hAnsi="宋体" w:eastAsia="宋体"/>
          <w:color w:val="auto"/>
          <w:sz w:val="24"/>
          <w:szCs w:val="24"/>
          <w:highlight w:val="none"/>
        </w:rPr>
        <w:t xml:space="preserve">由</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自己承担。</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同时应认真审阅采购文件中所有的事项、格式、条款和规范要求等，若</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没有按采购文件要求提交全部资料，或</w:t>
      </w:r>
      <w:r>
        <w:rPr>
          <w:rFonts w:hint="eastAsia" w:ascii="宋体" w:hAnsi="宋体" w:eastAsia="宋体"/>
          <w:color w:val="auto"/>
          <w:sz w:val="24"/>
          <w:szCs w:val="24"/>
          <w:highlight w:val="none"/>
        </w:rPr>
        <w:t xml:space="preserve">投标（响应）文件</w:t>
      </w:r>
      <w:r>
        <w:rPr>
          <w:rFonts w:hint="eastAsia" w:ascii="宋体" w:hAnsi="宋体" w:eastAsia="宋体" w:cs="宋体"/>
          <w:color w:val="auto"/>
          <w:sz w:val="24"/>
          <w:szCs w:val="24"/>
          <w:highlight w:val="none"/>
        </w:rPr>
        <w:t xml:space="preserve">没有对采购文件做出实质性响应，其风险由供应商自行承担，并根据有关条款规定，</w:t>
      </w:r>
      <w:r>
        <w:rPr>
          <w:rFonts w:hint="eastAsia" w:ascii="宋体" w:hAnsi="宋体" w:eastAsia="宋体" w:cs="宋体"/>
          <w:b/>
          <w:color w:val="auto"/>
          <w:sz w:val="24"/>
          <w:szCs w:val="24"/>
          <w:highlight w:val="none"/>
        </w:rPr>
        <w:t xml:space="preserve">该电子投标（响应）文件将被视为未实质性响应。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8.采购文件的询问</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9.现场踏勘</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10.集中现场考察</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11.采购文件的澄清或修改</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11.2为保证供应商有足够时间修正投标（响应）文件，或出于其他合理原因，采购代理机构可依法顺延响应截止时间和开标时间。</w:t>
      </w:r>
      <w:r/>
    </w:p>
    <w:p>
      <w:pPr>
        <w:pStyle w:val="95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12．提示与要求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12.1供应商应仔细阅读采购文件的所有内容，按采购文件的要求提供投标（响应）文件，并保证所提供的全</w:t>
      </w:r>
      <w:r>
        <w:rPr>
          <w:rFonts w:ascii="宋体" w:hAnsi="宋体" w:eastAsia="宋体"/>
          <w:color w:val="auto"/>
          <w:sz w:val="24"/>
          <w:szCs w:val="24"/>
          <w:highlight w:val="none"/>
        </w:rPr>
        <w:t xml:space="preserve">部资料的真实性，以使其对</w:t>
      </w:r>
      <w:r>
        <w:rPr>
          <w:rFonts w:hint="eastAsia" w:ascii="宋体" w:hAnsi="宋体" w:eastAsia="宋体"/>
          <w:color w:val="auto"/>
          <w:sz w:val="24"/>
          <w:szCs w:val="24"/>
          <w:highlight w:val="none"/>
        </w:rPr>
        <w:t xml:space="preserve">采购文件</w:t>
      </w:r>
      <w:r>
        <w:rPr>
          <w:rFonts w:ascii="宋体" w:hAnsi="宋体" w:eastAsia="宋体"/>
          <w:color w:val="auto"/>
          <w:sz w:val="24"/>
          <w:szCs w:val="24"/>
          <w:highlight w:val="none"/>
        </w:rPr>
        <w:t xml:space="preserve">作出实质性响应，否则，其</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12.2无论是否递交投标（响应）文件，供应商都应将采购文件及以后的所有通知、文件等视为保密文件。</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投标（响应）文件计量单位和使用文字</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13.1投标（响应）文件中所使用的计量单位，除采购文件中有特殊要求外，均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14.投标（响应）文件的组成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14.1投标（响应）文件（报价、资格及技术部分）：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w:t>
      </w:r>
      <w:r>
        <w:rPr>
          <w:rFonts w:ascii="宋体" w:hAnsi="宋体" w:eastAsia="宋体" w:cs="宋体"/>
          <w:b/>
          <w:color w:val="auto"/>
          <w:sz w:val="24"/>
          <w:highlight w:val="none"/>
        </w:rPr>
        <w:t xml:space="preserve">2</w:t>
      </w:r>
      <w:r>
        <w:rPr>
          <w:rFonts w:hint="eastAsia" w:ascii="宋体" w:hAnsi="宋体" w:eastAsia="宋体" w:cs="宋体"/>
          <w:b/>
          <w:color w:val="auto"/>
          <w:sz w:val="24"/>
          <w:highlight w:val="none"/>
        </w:rPr>
        <w:t xml:space="preserve">开标一览表</w:t>
      </w:r>
      <w:r>
        <w:rPr>
          <w:rFonts w:hint="eastAsia" w:ascii="宋体" w:hAnsi="宋体" w:eastAsia="宋体" w:cs="宋体"/>
          <w:b/>
          <w:bCs/>
          <w:color w:val="auto"/>
          <w:sz w:val="24"/>
          <w:szCs w:val="24"/>
          <w:highlight w:val="none"/>
          <w:shd w:val="clear" w:color="auto" w:fill="ffffff"/>
        </w:rPr>
        <w:t xml:space="preserve">（格式详见第三章）；</w:t>
      </w:r>
      <w:r/>
    </w:p>
    <w:p>
      <w:pPr>
        <w:ind w:firstLine="482"/>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highlight w:val="none"/>
        </w:rPr>
        <w:t xml:space="preserve">14.1</w:t>
      </w:r>
      <w:r>
        <w:rPr>
          <w:rFonts w:hint="eastAsia" w:ascii="宋体" w:hAnsi="宋体" w:eastAsia="宋体" w:cs="宋体"/>
          <w:b/>
          <w:color w:val="auto"/>
          <w:sz w:val="24"/>
          <w:szCs w:val="22"/>
          <w:highlight w:val="none"/>
        </w:rPr>
        <w:t xml:space="preserve">.3报价明细表</w:t>
      </w:r>
      <w:bookmarkStart w:id="9" w:name="_Hlk193373013"/>
      <w:r>
        <w:rPr>
          <w:rFonts w:hint="eastAsia" w:ascii="宋体" w:hAnsi="宋体" w:eastAsia="宋体" w:cs="宋体"/>
          <w:b/>
          <w:bCs/>
          <w:color w:val="auto"/>
          <w:sz w:val="24"/>
          <w:szCs w:val="24"/>
          <w:highlight w:val="none"/>
          <w:shd w:val="clear" w:color="auto" w:fill="ffffff"/>
        </w:rPr>
        <w:t xml:space="preserve">（格式详见第三章）；</w:t>
      </w:r>
      <w:bookmarkEnd w:id="9"/>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w:t>
      </w:r>
      <w:r>
        <w:rPr>
          <w:rFonts w:ascii="宋体" w:hAnsi="宋体" w:eastAsia="宋体" w:cs="宋体"/>
          <w:b/>
          <w:color w:val="auto"/>
          <w:sz w:val="24"/>
          <w:highlight w:val="none"/>
        </w:rPr>
        <w:t xml:space="preserve">4资格审查</w:t>
      </w:r>
      <w:r>
        <w:rPr>
          <w:rFonts w:hint="eastAsia" w:ascii="宋体" w:hAnsi="宋体" w:eastAsia="宋体" w:cs="宋体"/>
          <w:b/>
          <w:color w:val="auto"/>
          <w:sz w:val="24"/>
          <w:highlight w:val="none"/>
        </w:rPr>
        <w:t xml:space="preserve">投标（响应）文件</w:t>
      </w:r>
      <w:r/>
    </w:p>
    <w:tbl>
      <w:tblPr>
        <w:tblStyle w:val="948"/>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bookmarkStart w:id="10" w:name="_Hlk193373287"/>
            <w:r>
              <w:rPr>
                <w:rFonts w:hint="eastAsia" w:ascii="宋体" w:hAnsi="宋体" w:eastAsia="宋体" w:cs="宋体"/>
                <w:color w:val="auto"/>
                <w:sz w:val="21"/>
                <w:highlight w:val="none"/>
              </w:rPr>
              <w:t xml:space="preserve">序号</w:t>
            </w:r>
            <w:r/>
          </w:p>
        </w:tc>
        <w:tc>
          <w:tcPr>
            <w:tcW w:w="4315" w:type="dxa"/>
            <w:vAlign w:val="center"/>
            <w:textDirection w:val="lrTb"/>
            <w:noWrap w:val="false"/>
          </w:tcPr>
          <w:p>
            <w:pPr>
              <w:pStyle w:val="949"/>
              <w:jc w:val="center"/>
              <w:rPr>
                <w:rFonts w:eastAsia="宋体"/>
                <w:color w:val="auto"/>
                <w:sz w:val="21"/>
                <w:highlight w:val="none"/>
              </w:rPr>
            </w:pPr>
            <w:r>
              <w:rPr>
                <w:rFonts w:hint="eastAsia" w:eastAsia="宋体"/>
                <w:color w:val="auto"/>
                <w:sz w:val="21"/>
                <w:highlight w:val="none"/>
              </w:rPr>
              <w:t xml:space="preserve">评审项</w:t>
            </w:r>
            <w:r/>
          </w:p>
        </w:tc>
        <w:tc>
          <w:tcPr>
            <w:tcW w:w="4767" w:type="dxa"/>
            <w:vAlign w:val="center"/>
            <w:textDirection w:val="lrTb"/>
            <w:noWrap w:val="false"/>
          </w:tcPr>
          <w:p>
            <w:pPr>
              <w:pStyle w:val="949"/>
              <w:jc w:val="center"/>
              <w:rPr>
                <w:rFonts w:eastAsia="宋体"/>
                <w:color w:val="auto"/>
                <w:sz w:val="21"/>
                <w:highlight w:val="none"/>
              </w:rPr>
            </w:pPr>
            <w:r>
              <w:rPr>
                <w:rFonts w:hint="eastAsia" w:eastAsia="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具有独立承担民事责任的能力</w:t>
            </w:r>
            <w:r/>
          </w:p>
        </w:tc>
        <w:tc>
          <w:tcPr>
            <w:tcW w:w="4767"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具有良好的商业信誉和健全的财务会计制度</w:t>
            </w:r>
            <w:r/>
          </w:p>
        </w:tc>
        <w:tc>
          <w:tcPr>
            <w:tcW w:w="4767"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具有履行合同所必需的设备和专业技术能力</w:t>
            </w:r>
            <w:r/>
          </w:p>
        </w:tc>
        <w:tc>
          <w:tcPr>
            <w:tcW w:w="4767"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具有依法缴纳税收和社会保障资金的良好记录</w:t>
            </w:r>
            <w:r/>
          </w:p>
        </w:tc>
        <w:tc>
          <w:tcPr>
            <w:tcW w:w="4767" w:type="dxa"/>
            <w:vAlign w:val="center"/>
            <w:textDirection w:val="lrTb"/>
            <w:noWrap w:val="false"/>
          </w:tcPr>
          <w:p>
            <w:pPr>
              <w:jc w:val="left"/>
              <w:rPr>
                <w:rFonts w:eastAsia="宋体"/>
                <w:color w:val="auto"/>
                <w:sz w:val="21"/>
                <w:highlight w:val="none"/>
              </w:rPr>
            </w:pPr>
            <w:r>
              <w:rPr>
                <w:rFonts w:hint="eastAsia" w:eastAsia="宋体"/>
                <w:color w:val="auto"/>
                <w:sz w:val="21"/>
                <w:highlight w:val="none"/>
              </w:rPr>
              <w:t xml:space="preserve">供应商提供参加本次政府采购活动前一段时间内依法缴纳税收（</w:t>
            </w:r>
            <w:r>
              <w:rPr>
                <w:rFonts w:hint="eastAsia" w:ascii="宋体" w:hAnsi="宋体" w:eastAsia="宋体" w:cs="宋体"/>
                <w:color w:val="auto"/>
                <w:sz w:val="21"/>
                <w:szCs w:val="21"/>
                <w:highlight w:val="none"/>
              </w:rPr>
              <w:t xml:space="preserve">供应商如为法人的，包括但不限于企业所得税和增值税。注：供应商如为法人的分支机构的，可不包括企业所得税</w:t>
            </w:r>
            <w:r>
              <w:rPr>
                <w:rFonts w:hint="eastAsia" w:eastAsia="宋体"/>
                <w:color w:val="auto"/>
                <w:sz w:val="21"/>
                <w:highlight w:val="none"/>
              </w:rPr>
              <w:t xml:space="preserve">）和社会保险的凭据；依法免税或不需要缴纳社会保障资金的供应商，应提供相应文件证明其依法免税或不需要缴纳社会保障资金。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参加政府采购活动前三年内，在经营活动中没有重大违法记录</w:t>
            </w:r>
            <w:r/>
          </w:p>
        </w:tc>
        <w:tc>
          <w:tcPr>
            <w:tcW w:w="4767"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法律、行政法规规定的其他条件</w:t>
            </w:r>
            <w:r/>
          </w:p>
        </w:tc>
        <w:tc>
          <w:tcPr>
            <w:tcW w:w="4767"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49"/>
              <w:jc w:val="left"/>
              <w:rPr>
                <w:rFonts w:eastAsia="宋体" w:cs="宋体"/>
                <w:color w:val="auto"/>
                <w:sz w:val="21"/>
                <w:szCs w:val="21"/>
                <w:highlight w:val="none"/>
              </w:rPr>
            </w:pPr>
            <w:r>
              <w:rPr>
                <w:rFonts w:hint="eastAsia" w:eastAsia="宋体"/>
                <w:color w:val="auto"/>
                <w:sz w:val="21"/>
                <w:highlight w:val="none"/>
              </w:rPr>
              <w:t xml:space="preserve">无</w:t>
            </w:r>
            <w:r/>
          </w:p>
        </w:tc>
        <w:tc>
          <w:tcPr>
            <w:tcW w:w="4767" w:type="dxa"/>
            <w:textDirection w:val="lrTb"/>
            <w:noWrap w:val="false"/>
          </w:tcPr>
          <w:p>
            <w:pPr>
              <w:pStyle w:val="949"/>
              <w:jc w:val="left"/>
              <w:rPr>
                <w:rFonts w:eastAsia="宋体"/>
                <w:color w:val="auto"/>
                <w:sz w:val="21"/>
                <w:highlight w:val="none"/>
              </w:rPr>
            </w:pPr>
            <w:r>
              <w:rPr>
                <w:rFonts w:hint="eastAsia" w:eastAsia="宋体"/>
                <w:color w:val="auto"/>
                <w:sz w:val="21"/>
                <w:szCs w:val="21"/>
                <w:highlight w:val="none"/>
              </w:rPr>
              <w:t xml:space="preserve">无</w:t>
            </w:r>
            <w:r/>
          </w:p>
        </w:tc>
      </w:tr>
      <w:tr>
        <w:trPr>
          <w:jc w:val="center"/>
          <w:trHeight w:val="405"/>
        </w:trPr>
        <w:tc>
          <w:tcPr>
            <w:gridSpan w:val="3"/>
            <w:tcW w:w="10070" w:type="dxa"/>
            <w:vAlign w:val="center"/>
            <w:textDirection w:val="lrTb"/>
            <w:noWrap w:val="false"/>
          </w:tcPr>
          <w:p>
            <w:pPr>
              <w:pStyle w:val="94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供应商无需提供相关证明资料，由采购代理机构按照招标文件第二章“21.信用查询”要求执行。</w:t>
            </w:r>
            <w:r/>
          </w:p>
        </w:tc>
      </w:tr>
      <w:tr>
        <w:trPr>
          <w:jc w:val="center"/>
          <w:trHeight w:val="23"/>
        </w:trPr>
        <w:tc>
          <w:tcPr>
            <w:tcW w:w="988" w:type="dxa"/>
            <w:vAlign w:val="center"/>
            <w:textDirection w:val="lrTb"/>
            <w:noWrap w:val="false"/>
          </w:tcPr>
          <w:p>
            <w:pPr>
              <w:pStyle w:val="949"/>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shd w:val="clear" w:color="auto" w:fill="auto"/>
            <w:tcW w:w="4315"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响应单位具备有效期内的《保险许可证》，须为国家金融监督管理总局（原中国（银行）保险监督管理委员会）批准设立的保险公司或其分支机构。同一保险公司有两个及两个以上的下属分支机构同时参加本项目响应的，则其响应文件均按无效响应文件处理</w:t>
            </w:r>
            <w:r/>
          </w:p>
        </w:tc>
        <w:tc>
          <w:tcPr>
            <w:shd w:val="clear" w:color="auto" w:fill="auto"/>
            <w:tcW w:w="4767" w:type="dxa"/>
            <w:vAlign w:val="center"/>
            <w:textDirection w:val="lrTb"/>
            <w:noWrap w:val="false"/>
          </w:tcPr>
          <w:p>
            <w:pPr>
              <w:pStyle w:val="949"/>
              <w:jc w:val="left"/>
              <w:rPr>
                <w:rFonts w:eastAsia="宋体"/>
                <w:color w:val="auto"/>
                <w:sz w:val="21"/>
                <w:szCs w:val="21"/>
                <w:highlight w:val="none"/>
              </w:rPr>
            </w:pPr>
            <w:r>
              <w:rPr>
                <w:rFonts w:hint="eastAsia" w:eastAsia="宋体"/>
                <w:color w:val="auto"/>
                <w:sz w:val="21"/>
                <w:szCs w:val="21"/>
                <w:highlight w:val="none"/>
              </w:rPr>
              <w:t xml:space="preserve">《保险许可证》扫描件。同一保险公司有两个及两个以上的下属分支机构同时参加本项目响应的，则其响应文件均按无效响应文件处理</w:t>
            </w:r>
            <w:bookmarkEnd w:id="10"/>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14.1.5符合性审查投标（响应）文件</w:t>
      </w:r>
      <w:r/>
    </w:p>
    <w:tbl>
      <w:tblPr>
        <w:tblStyle w:val="94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8"/>
        <w:gridCol w:w="4237"/>
        <w:gridCol w:w="4280"/>
      </w:tblGrid>
      <w:tr>
        <w:trPr>
          <w:trHeight w:val="23"/>
        </w:trPr>
        <w:tc>
          <w:tcPr>
            <w:tcW w:w="250" w:type="pct"/>
            <w:vAlign w:val="center"/>
            <w:textDirection w:val="lrTb"/>
            <w:noWrap w:val="false"/>
          </w:tcPr>
          <w:p>
            <w:pPr>
              <w:pStyle w:val="949"/>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63" w:type="pct"/>
            <w:vAlign w:val="center"/>
            <w:textDirection w:val="lrTb"/>
            <w:noWrap w:val="false"/>
          </w:tcPr>
          <w:p>
            <w:pPr>
              <w:pStyle w:val="949"/>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385" w:type="pct"/>
            <w:vAlign w:val="center"/>
            <w:textDirection w:val="lrTb"/>
            <w:noWrap w:val="false"/>
          </w:tcPr>
          <w:p>
            <w:pPr>
              <w:pStyle w:val="949"/>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949"/>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3" w:type="pct"/>
            <w:vAlign w:val="center"/>
            <w:textDirection w:val="lrTb"/>
            <w:noWrap w:val="false"/>
          </w:tcPr>
          <w:p>
            <w:pPr>
              <w:pStyle w:val="94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23"/>
        </w:trPr>
        <w:tc>
          <w:tcPr>
            <w:gridSpan w:val="3"/>
            <w:tcW w:w="500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2363" w:type="pct"/>
            <w:vAlign w:val="center"/>
            <w:textDirection w:val="lrTb"/>
            <w:noWrap w:val="false"/>
          </w:tcPr>
          <w:p>
            <w:pPr>
              <w:pStyle w:val="949"/>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投标（响应）函</w:t>
            </w:r>
            <w:r/>
          </w:p>
        </w:tc>
        <w:tc>
          <w:tcPr>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2363" w:type="pct"/>
            <w:vAlign w:val="center"/>
            <w:textDirection w:val="lrTb"/>
            <w:noWrap w:val="false"/>
          </w:tcPr>
          <w:p>
            <w:pPr>
              <w:pStyle w:val="949"/>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法定代表人（负责人）授权委托书（如有授权）</w:t>
            </w:r>
            <w:r/>
          </w:p>
        </w:tc>
        <w:tc>
          <w:tcPr>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2363" w:type="pct"/>
            <w:vAlign w:val="center"/>
            <w:textDirection w:val="lrTb"/>
            <w:noWrap w:val="false"/>
          </w:tcPr>
          <w:p>
            <w:pPr>
              <w:pStyle w:val="949"/>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供应商法定代表人（负责人）身份证扫描件、供应商代理人身份证扫描件（如有授权）</w:t>
            </w:r>
            <w:r/>
          </w:p>
        </w:tc>
        <w:tc>
          <w:tcPr>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供应商法定代表人（负责人）身份证扫描件、供应商代理人身份证扫描件（如有授权）</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2363" w:type="pct"/>
            <w:vAlign w:val="center"/>
            <w:textDirection w:val="lrTb"/>
            <w:noWrap w:val="false"/>
          </w:tcPr>
          <w:p>
            <w:pPr>
              <w:pStyle w:val="949"/>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《供应商基本情况表》、《资格文件的声明函》</w:t>
            </w:r>
            <w:r/>
          </w:p>
        </w:tc>
        <w:tc>
          <w:tcPr>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2363" w:type="pct"/>
            <w:vAlign w:val="center"/>
            <w:textDirection w:val="lrTb"/>
            <w:noWrap w:val="false"/>
          </w:tcPr>
          <w:p>
            <w:pPr>
              <w:pStyle w:val="949"/>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《供应商与其他单位存在直接控股、管理关系情况表》</w:t>
            </w:r>
            <w:r/>
          </w:p>
        </w:tc>
        <w:tc>
          <w:tcPr>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2363" w:type="pct"/>
            <w:vAlign w:val="center"/>
            <w:textDirection w:val="lrTb"/>
            <w:noWrap w:val="false"/>
          </w:tcPr>
          <w:p>
            <w:pPr>
              <w:pStyle w:val="949"/>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《商务要求偏离表》</w:t>
            </w:r>
            <w:r/>
          </w:p>
        </w:tc>
        <w:tc>
          <w:tcPr>
            <w:tcW w:w="2385" w:type="pct"/>
            <w:vAlign w:val="center"/>
            <w:textDirection w:val="lrTb"/>
            <w:noWrap w:val="false"/>
          </w:tcPr>
          <w:p>
            <w:pPr>
              <w:pStyle w:val="949"/>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2363" w:type="pct"/>
            <w:vAlign w:val="center"/>
            <w:textDirection w:val="lrTb"/>
            <w:noWrap w:val="false"/>
          </w:tcPr>
          <w:p>
            <w:pPr>
              <w:pStyle w:val="949"/>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《拟投入本项目人员配备一览表》</w:t>
            </w:r>
            <w:r/>
          </w:p>
        </w:tc>
        <w:tc>
          <w:tcPr>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w:t>
            </w:r>
            <w:r/>
          </w:p>
        </w:tc>
        <w:tc>
          <w:tcPr>
            <w:shd w:val="clear" w:color="auto" w:fill="auto"/>
            <w:tcW w:w="2363" w:type="pct"/>
            <w:vAlign w:val="center"/>
            <w:textDirection w:val="lrTb"/>
            <w:noWrap w:val="false"/>
          </w:tcPr>
          <w:p>
            <w:pPr>
              <w:pStyle w:val="949"/>
              <w:jc w:val="left"/>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rPr>
              <w:t xml:space="preserve">联合体投标（如有）</w:t>
            </w:r>
            <w:r/>
          </w:p>
        </w:tc>
        <w:tc>
          <w:tcPr>
            <w:shd w:val="clear" w:color="auto" w:fill="auto"/>
            <w:tcW w:w="2385"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供应商提供联合投标协议书（格式见第三章）；</w:t>
            </w:r>
            <w:r/>
          </w:p>
          <w:p>
            <w:pPr>
              <w:pStyle w:val="949"/>
              <w:jc w:val="left"/>
              <w:spacing w:line="240" w:lineRule="auto"/>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如为联合体投标的，供应商还须将盖有联合体各方公章（实体公章或电子章）的联合投标协议书彩色扫描件上传至电子投标（响应）文件中，否则视为投标无效。</w:t>
            </w:r>
            <w:r/>
          </w:p>
        </w:tc>
      </w:tr>
      <w:tr>
        <w:trPr>
          <w:trHeight w:val="23"/>
        </w:trPr>
        <w:tc>
          <w:tcPr>
            <w:gridSpan w:val="3"/>
            <w:tcW w:w="5000" w:type="pct"/>
            <w:vAlign w:val="center"/>
            <w:textDirection w:val="lrTb"/>
            <w:noWrap w:val="false"/>
          </w:tcPr>
          <w:p>
            <w:pPr>
              <w:pStyle w:val="949"/>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3" w:type="pct"/>
            <w:vAlign w:val="center"/>
            <w:textDirection w:val="lrTb"/>
            <w:noWrap w:val="false"/>
          </w:tcPr>
          <w:p>
            <w:pPr>
              <w:pStyle w:val="949"/>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《服务或技术要求偏离表》</w:t>
            </w:r>
            <w:r/>
          </w:p>
        </w:tc>
        <w:tc>
          <w:tcPr>
            <w:tcW w:w="2385" w:type="pct"/>
            <w:vAlign w:val="center"/>
            <w:textDirection w:val="lrTb"/>
            <w:noWrap w:val="false"/>
          </w:tcPr>
          <w:p>
            <w:pPr>
              <w:pStyle w:val="949"/>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tcW w:w="250" w:type="pct"/>
            <w:vAlign w:val="center"/>
            <w:textDirection w:val="lrTb"/>
            <w:noWrap w:val="false"/>
          </w:tcPr>
          <w:p>
            <w:pPr>
              <w:pStyle w:val="949"/>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63" w:type="pct"/>
            <w:vAlign w:val="center"/>
            <w:textDirection w:val="lrTb"/>
            <w:noWrap w:val="false"/>
          </w:tcPr>
          <w:p>
            <w:pPr>
              <w:pStyle w:val="949"/>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《保险条款说明》</w:t>
            </w:r>
            <w:r/>
          </w:p>
        </w:tc>
        <w:tc>
          <w:tcPr>
            <w:tcW w:w="2385" w:type="pct"/>
            <w:vAlign w:val="center"/>
            <w:textDirection w:val="lrTb"/>
            <w:noWrap w:val="false"/>
          </w:tcPr>
          <w:p>
            <w:pPr>
              <w:pStyle w:val="949"/>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tcW w:w="250" w:type="pct"/>
            <w:vAlign w:val="center"/>
            <w:textDirection w:val="lrTb"/>
            <w:noWrap w:val="false"/>
          </w:tcPr>
          <w:p>
            <w:pPr>
              <w:pStyle w:val="949"/>
              <w:jc w:val="center"/>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2363" w:type="pct"/>
            <w:textDirection w:val="lrTb"/>
            <w:noWrap w:val="false"/>
          </w:tcPr>
          <w:p>
            <w:pPr>
              <w:pStyle w:val="949"/>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采购需求中所涉及到的或供应商认为需加以说明或证明的其他有关符合性证明材料、证明（如有）</w:t>
            </w:r>
            <w:r/>
          </w:p>
        </w:tc>
        <w:tc>
          <w:tcPr>
            <w:tcW w:w="2385" w:type="pct"/>
            <w:vAlign w:val="center"/>
            <w:textDirection w:val="lrTb"/>
            <w:noWrap w:val="false"/>
          </w:tcPr>
          <w:p>
            <w:pPr>
              <w:pStyle w:val="949"/>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格式自拟</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bookmarkStart w:id="11"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以上为符合性审查的要求和必须提供的材料，未按要求提供的投标（响应）无效。</w:t>
      </w:r>
      <w:bookmarkEnd w:id="1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14.1.6《类似项目一览表》、《其他优惠条件说明》、《中小企业声明函》、《残疾人福利性单位声明函》、《监狱企业证明文件》</w:t>
      </w:r>
      <w:r>
        <w:rPr>
          <w:rFonts w:hint="eastAsia" w:ascii="宋体" w:hAnsi="宋体" w:eastAsia="宋体"/>
          <w:b/>
          <w:bCs/>
          <w:color w:val="auto"/>
          <w:szCs w:val="24"/>
          <w:highlight w:val="none"/>
        </w:rPr>
        <w:t xml:space="preserve">（格式见第三章）；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14.1.7</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b/>
          <w:color w:val="auto"/>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w:t>
      </w:r>
      <w:r>
        <w:rPr>
          <w:rFonts w:hint="eastAsia" w:ascii="宋体" w:hAnsi="宋体" w:eastAsia="宋体"/>
          <w:b/>
          <w:color w:val="auto"/>
          <w:sz w:val="24"/>
          <w:szCs w:val="24"/>
          <w:highlight w:val="none"/>
        </w:rPr>
        <w:t xml:space="preserve">供应商</w:t>
      </w:r>
      <w:r>
        <w:rPr>
          <w:rFonts w:hint="eastAsia" w:ascii="宋体" w:hAnsi="宋体" w:eastAsia="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b/>
          <w:bCs/>
          <w:color w:val="auto"/>
          <w:sz w:val="24"/>
          <w:szCs w:val="24"/>
          <w:highlight w:val="none"/>
        </w:rPr>
        <w:t xml:space="preserve">.1</w:t>
      </w:r>
      <w:r>
        <w:rPr>
          <w:rFonts w:ascii="宋体" w:hAnsi="宋体" w:eastAsia="宋体"/>
          <w:b/>
          <w:bCs/>
          <w:color w:val="auto"/>
          <w:sz w:val="24"/>
          <w:szCs w:val="24"/>
          <w:highlight w:val="none"/>
        </w:rPr>
        <w:t xml:space="preserve">—</w:t>
      </w:r>
      <w:r>
        <w:rPr>
          <w:rFonts w:hint="eastAsia" w:ascii="宋体" w:hAnsi="宋体" w:eastAsia="宋体" w:cs="宋体"/>
          <w:b/>
          <w:color w:val="auto"/>
          <w:sz w:val="24"/>
          <w:highlight w:val="none"/>
        </w:rPr>
        <w:t xml:space="preserve">14.1</w:t>
      </w:r>
      <w:r>
        <w:rPr>
          <w:rFonts w:hint="eastAsia" w:ascii="宋体" w:hAnsi="宋体" w:eastAsia="宋体"/>
          <w:b/>
          <w:bCs/>
          <w:color w:val="auto"/>
          <w:sz w:val="24"/>
          <w:szCs w:val="24"/>
          <w:highlight w:val="none"/>
        </w:rPr>
        <w:t xml:space="preserve">.5款规定的资料。否则，投标（响应）文件将被视为因未实质性响应采购文件要求而被拒绝。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12" w:name="_Hlk158131259"/>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供应商必须保证全部投标（响应）资料的真实性，如有虚假或对采购文件所要求说明的情况故意隐瞒或虚报，视为不实质性响应采购文件，响应无效。</w:t>
      </w:r>
      <w:r/>
    </w:p>
    <w:p>
      <w:pPr>
        <w:ind w:firstLine="48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如供应商投标（响应）文件中某些条款不响应采购文件提出的全部采购内容与服务要求，须在偏离表中逐条列出，未列出的视同响应。</w:t>
      </w:r>
      <w:bookmarkEnd w:id="12"/>
      <w:r/>
      <w:r/>
    </w:p>
    <w:p>
      <w:pPr>
        <w:ind w:firstLine="482"/>
        <w:spacing w:line="360" w:lineRule="auto"/>
        <w:widowControl/>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（2）磋商过程中如有问题采购代理机构工作人员会及时通</w:t>
      </w:r>
      <w:r>
        <w:rPr>
          <w:rFonts w:hint="eastAsia" w:ascii="宋体" w:hAnsi="宋体" w:eastAsia="宋体"/>
          <w:b/>
          <w:color w:val="auto"/>
          <w:sz w:val="24"/>
          <w:szCs w:val="24"/>
          <w:highlight w:val="none"/>
        </w:rPr>
        <w:t xml:space="preserve">过</w:t>
      </w:r>
      <w:r>
        <w:rPr>
          <w:rFonts w:hint="eastAsia" w:ascii="宋体" w:hAnsi="宋体" w:eastAsia="宋体"/>
          <w:b/>
          <w:color w:val="auto"/>
          <w:sz w:val="24"/>
          <w:szCs w:val="24"/>
          <w:highlight w:val="none"/>
          <w:lang w:val="zh-CN"/>
        </w:rPr>
        <w:t xml:space="preserve">《投标供应商确认函》留存的手机号与供应商联系。请供应商确保该手机号磋商当日通讯畅通，否则因此导致的对供应商不利的后果由供应商自行承担。</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cs="宋体"/>
          <w:b/>
          <w:color w:val="auto"/>
          <w:sz w:val="24"/>
          <w:highlight w:val="none"/>
        </w:rPr>
        <w:t xml:space="preserve">15.</w:t>
      </w:r>
      <w:bookmarkStart w:id="13" w:name="_Hlk193374150"/>
      <w:r>
        <w:rPr>
          <w:rFonts w:hint="eastAsia" w:ascii="宋体" w:hAnsi="宋体" w:eastAsia="宋体"/>
          <w:b/>
          <w:color w:val="auto"/>
          <w:sz w:val="24"/>
          <w:szCs w:val="24"/>
          <w:highlight w:val="none"/>
        </w:rPr>
        <w:t xml:space="preserve">电子投标（响应）文件的制作及递交</w:t>
      </w:r>
      <w:bookmarkEnd w:id="13"/>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4" w:name="_Hlk140247794"/>
      <w:r>
        <w:rPr>
          <w:rFonts w:hint="eastAsia" w:ascii="宋体" w:hAnsi="宋体" w:eastAsia="宋体"/>
          <w:color w:val="auto"/>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15.3投标（响应）文件未按照采购文件要求加盖CA电子公章的，响应无效。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5" w:name="_Hlk158134955"/>
      <w:r>
        <w:rPr>
          <w:rFonts w:hint="eastAsia" w:ascii="宋体" w:hAnsi="宋体" w:eastAsia="宋体"/>
          <w:color w:val="auto"/>
          <w:sz w:val="24"/>
          <w:szCs w:val="24"/>
          <w:highlight w:val="none"/>
        </w:rPr>
        <w:t xml:space="preserve">15.4联合体投标：如采购公告中允许联合体投标，联合体投标的投标（响应）文件制作上传操作如下：</w:t>
      </w:r>
      <w:r/>
    </w:p>
    <w:p>
      <w:pPr>
        <w:pStyle w:val="954"/>
        <w:ind w:left="0" w:firstLine="480"/>
        <w:spacing w:line="360" w:lineRule="auto"/>
        <w:rPr>
          <w:rFonts w:hint="eastAsia" w:ascii="宋体" w:hAnsi="宋体" w:eastAsia="宋体"/>
          <w:bCs/>
          <w:color w:val="auto"/>
          <w:szCs w:val="24"/>
          <w:highlight w:val="none"/>
        </w:rPr>
      </w:pPr>
      <w:r>
        <w:rPr>
          <w:rFonts w:hint="eastAsia" w:ascii="宋体" w:hAnsi="宋体" w:eastAsia="宋体"/>
          <w:color w:val="auto"/>
          <w:szCs w:val="24"/>
          <w:highlight w:val="none"/>
        </w:rPr>
        <w:t xml:space="preserve">第一步：在投标（响应）文件中上传联合体投标协议书。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第二步；在投标（响应）文件中，由联合体中的牵头人制作投标（响应）文件。</w:t>
      </w:r>
      <w:bookmarkEnd w:id="15"/>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15.5如不同投标（响应）文件制作机器码一致，则投标（响应）无效。</w:t>
      </w:r>
      <w:bookmarkEnd w:id="14"/>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报价（编制）要求的说明</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6.1投标（响应）</w:t>
      </w:r>
      <w:r>
        <w:rPr>
          <w:rFonts w:ascii="宋体" w:hAnsi="宋体" w:eastAsia="宋体"/>
          <w:color w:val="auto"/>
          <w:sz w:val="24"/>
          <w:szCs w:val="24"/>
          <w:highlight w:val="none"/>
          <w:shd w:val="clear" w:color="auto" w:fill="ffffff"/>
        </w:rPr>
        <w:t xml:space="preserve">报价</w:t>
      </w:r>
      <w:r>
        <w:rPr>
          <w:rFonts w:hint="eastAsia" w:ascii="宋体" w:hAnsi="宋体" w:eastAsia="宋体"/>
          <w:color w:val="auto"/>
          <w:sz w:val="24"/>
          <w:szCs w:val="24"/>
          <w:highlight w:val="none"/>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95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3一项内容只允许一个报价，采购单位不接受任何有选择性地报价。</w:t>
      </w:r>
      <w:r/>
    </w:p>
    <w:p>
      <w:pPr>
        <w:pStyle w:val="95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4投标（响应）文件报价中的单价和总价全部采用人民币表示，除非合同的特殊条款另有规定。</w:t>
      </w:r>
      <w:r/>
    </w:p>
    <w:p>
      <w:pPr>
        <w:pStyle w:val="95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5最低报价不能作为中标（成交）的保证。</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17</w:t>
      </w:r>
      <w:r>
        <w:rPr>
          <w:rFonts w:ascii="宋体" w:hAnsi="宋体" w:eastAsia="宋体"/>
          <w:b/>
          <w:color w:val="auto"/>
          <w:sz w:val="24"/>
          <w:szCs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17.1中标（成交）供应商应按前附表的规定提交履约保证金。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开户行：/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投标（响应）文件的有效期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8</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自</w:t>
      </w:r>
      <w:r>
        <w:rPr>
          <w:rFonts w:hint="eastAsia" w:ascii="宋体" w:hAnsi="宋体" w:eastAsia="宋体"/>
          <w:color w:val="auto"/>
          <w:sz w:val="24"/>
          <w:highlight w:val="none"/>
        </w:rPr>
        <w:t xml:space="preserve">投标（响应）文件提交截止之日</w:t>
      </w:r>
      <w:r>
        <w:rPr>
          <w:rFonts w:hint="eastAsia" w:ascii="宋体" w:hAnsi="宋体" w:eastAsia="宋体"/>
          <w:color w:val="auto"/>
          <w:sz w:val="24"/>
          <w:szCs w:val="24"/>
          <w:highlight w:val="none"/>
        </w:rPr>
        <w:t xml:space="preserve">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天内，投标（响应）文件应保持有效。有效期短于这个规定期限的响应，将被拒绝。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8</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9.1</w:t>
      </w:r>
      <w:bookmarkStart w:id="16"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1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17" w:name="_Hlk193374912"/>
      <w:r>
        <w:rPr>
          <w:rFonts w:hint="eastAsia" w:ascii="宋体" w:hAnsi="宋体" w:eastAsia="宋体" w:cs="宋体"/>
          <w:color w:val="auto"/>
          <w:sz w:val="24"/>
          <w:szCs w:val="24"/>
          <w:highlight w:val="none"/>
        </w:rPr>
        <w:t xml:space="preserve">采</w:t>
      </w:r>
      <w:bookmarkEnd w:id="17"/>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9.3</w:t>
      </w:r>
      <w:bookmarkStart w:id="18" w:name="_Hlk193374938"/>
      <w:r>
        <w:rPr>
          <w:rFonts w:hint="eastAsia" w:ascii="宋体" w:hAnsi="宋体" w:eastAsia="宋体" w:cs="宋体"/>
          <w:color w:val="auto"/>
          <w:sz w:val="24"/>
          <w:szCs w:val="24"/>
          <w:highlight w:val="none"/>
        </w:rPr>
        <w:t xml:space="preserve">在投标（响应）截止时间止，采购人或采购代理机构收到的某采购包投标（响应）文件少于三份，采购人或采购代理机构有权宣布该采购包本次招标（采购）失败。</w:t>
      </w:r>
      <w:bookmarkEnd w:id="18"/>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9.4</w:t>
      </w:r>
      <w:bookmarkStart w:id="19"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19"/>
      <w:r/>
      <w:r/>
    </w:p>
    <w:p>
      <w:pPr>
        <w:ind w:firstLine="482"/>
        <w:spacing w:line="360" w:lineRule="auto"/>
        <w:rPr>
          <w:color w:val="auto"/>
          <w:highlight w:val="none"/>
        </w:rPr>
      </w:pPr>
      <w:r>
        <w:rPr>
          <w:rFonts w:hint="eastAsia" w:ascii="宋体" w:hAnsi="宋体" w:eastAsia="宋体"/>
          <w:b/>
          <w:bCs/>
          <w:color w:val="auto"/>
          <w:sz w:val="24"/>
          <w:highlight w:val="none"/>
          <w:shd w:val="clear" w:color="auto" w:fill="ffffff"/>
        </w:rPr>
        <w:t xml:space="preserve">D.开标和评标</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磋商程序</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1采购代理机构按本须知规定的时间、地点主持磋商采购活动。</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3在投标（响应）文件网上递交截止时间止成功解密的供应商少于三家，则本次采购失败。</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4由磋商小组审查供应商解密的投标（响应）文件。</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已提交投标（响应）文件的供应商，在提交最后报价之前，可以根据磋商情况退出磋商，并在“苏采云”系统中提交“退出磋商函”并加盖CA电子公章。</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进入项目评审流程后，建议各供应商法定代表人（负责人）或授权委托人始终保持通讯顺畅，及时登录苏采云系统查阅、答复相关信息。</w:t>
      </w:r>
      <w:r>
        <w:rPr>
          <w:rFonts w:ascii="宋体" w:hAnsi="宋体" w:eastAsia="宋体" w:cs="宋体"/>
          <w:bCs/>
          <w:color w:val="auto"/>
          <w:sz w:val="24"/>
          <w:szCs w:val="24"/>
          <w:highlight w:val="none"/>
          <w:lang w:val="zh-CN"/>
        </w:rPr>
        <w:t xml:space="preserve"> </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11经磋商确定最终采购需求和提交最后报价的供应商后，由磋商小组采用综合评分法对提交最后报价的供应商的投标（响应）文件和最后报价进行综合评分。</w:t>
      </w:r>
      <w:r>
        <w:rPr>
          <w:rFonts w:ascii="宋体" w:hAnsi="宋体" w:eastAsia="宋体" w:cs="宋体"/>
          <w:color w:val="auto"/>
          <w:sz w:val="24"/>
          <w:szCs w:val="24"/>
          <w:highlight w:val="none"/>
          <w:lang w:val="zh-CN"/>
        </w:rPr>
        <w:t xml:space="preserve"> </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12磋商小组根据磋商成交原则确定成交供应商，并将结果通知所有参加磋商的供应商。</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20.13</w:t>
      </w:r>
      <w:r>
        <w:rPr>
          <w:rFonts w:hint="eastAsia" w:ascii="宋体" w:hAnsi="宋体" w:eastAsia="宋体" w:cs="宋体"/>
          <w:color w:val="auto"/>
          <w:sz w:val="24"/>
          <w:szCs w:val="24"/>
          <w:highlight w:val="none"/>
          <w:lang w:val="zh-CN"/>
        </w:rPr>
        <w:t xml:space="preserve">在机器码检查中，出现不同供应商投标（响应）文件机器码一致情形的，投标（响应）文件将被认定为无效响应。</w:t>
      </w:r>
      <w:r/>
    </w:p>
    <w:p>
      <w:pPr>
        <w:ind w:firstLine="48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如磋商过程中出现本采购文件未尽事宜，由磋商小组根据政府采购有关法律、法规讨论决定。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20.15以上磋商活动</w:t>
      </w:r>
      <w:r>
        <w:rPr>
          <w:rFonts w:hint="eastAsia" w:ascii="宋体" w:hAnsi="宋体" w:eastAsia="宋体"/>
          <w:color w:val="auto"/>
          <w:sz w:val="24"/>
          <w:szCs w:val="24"/>
          <w:highlight w:val="none"/>
        </w:rPr>
        <w:t xml:space="preserve">所涉及系统操作，以“苏采云”系统最新要求为准</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21.信用查询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21.1查询时间：投标（响应）文件提交截止时间。</w:t>
      </w:r>
      <w:r/>
    </w:p>
    <w:p>
      <w:pPr>
        <w:ind w:firstLine="480"/>
        <w:jc w:val="left"/>
        <w:spacing w:line="360" w:lineRule="auto"/>
        <w:tabs>
          <w:tab w:val="left" w:pos="753" w:leader="none"/>
        </w:tabs>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21.2查询渠道：</w:t>
      </w:r>
      <w:bookmarkStart w:id="20" w:name="_Hlk92794284"/>
      <w:r>
        <w:rPr>
          <w:rFonts w:hint="eastAsia" w:ascii="宋体" w:hAnsi="宋体" w:eastAsia="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bCs/>
          <w:color w:val="auto"/>
          <w:sz w:val="24"/>
          <w:szCs w:val="24"/>
          <w:highlight w:val="none"/>
        </w:rPr>
        <w:t xml:space="preserve">www.jscredit.gov.cn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）、诚信苏州（www.szcredit.gov.cn）。</w:t>
      </w:r>
      <w:r/>
    </w:p>
    <w:p>
      <w:pPr>
        <w:ind w:firstLine="480"/>
        <w:jc w:val="left"/>
        <w:spacing w:line="360" w:lineRule="auto"/>
        <w:tabs>
          <w:tab w:val="left" w:pos="753" w:leader="none"/>
        </w:tabs>
        <w:rPr>
          <w:rFonts w:hint="eastAsia" w:ascii="宋体" w:hAnsi="宋体" w:eastAsia="宋体"/>
          <w:bCs/>
          <w:color w:val="auto"/>
          <w:sz w:val="24"/>
          <w:szCs w:val="24"/>
          <w:highlight w:val="none"/>
        </w:rPr>
      </w:pPr>
      <w:r>
        <w:rPr>
          <w:rFonts w:hint="eastAsia" w:ascii="宋体" w:hAnsi="宋体" w:eastAsia="宋体"/>
          <w:color w:val="auto"/>
          <w:sz w:val="24"/>
          <w:szCs w:val="24"/>
          <w:highlight w:val="none"/>
        </w:rPr>
        <w:t xml:space="preserve">21.3查询证据留存方式：</w:t>
      </w:r>
      <w:bookmarkEnd w:id="20"/>
      <w:r>
        <w:rPr>
          <w:rFonts w:ascii="宋体" w:hAnsi="宋体" w:eastAsia="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bCs/>
          <w:color w:val="auto"/>
          <w:sz w:val="24"/>
          <w:szCs w:val="24"/>
          <w:highlight w:val="none"/>
        </w:rPr>
        <w:t xml:space="preserve">磋商小组</w:t>
      </w:r>
      <w:r>
        <w:rPr>
          <w:rFonts w:ascii="宋体" w:hAnsi="宋体" w:eastAsia="宋体"/>
          <w:bCs/>
          <w:color w:val="auto"/>
          <w:sz w:val="24"/>
          <w:szCs w:val="24"/>
          <w:highlight w:val="none"/>
        </w:rPr>
        <w:t xml:space="preserve">确认的失信信息，</w:t>
      </w:r>
      <w:r>
        <w:rPr>
          <w:rFonts w:hint="eastAsia" w:ascii="宋体" w:hAnsi="宋体" w:eastAsia="宋体"/>
          <w:bCs/>
          <w:color w:val="auto"/>
          <w:sz w:val="24"/>
          <w:szCs w:val="24"/>
          <w:highlight w:val="none"/>
        </w:rPr>
        <w:t xml:space="preserve">登录</w:t>
      </w:r>
      <w:r>
        <w:rPr>
          <w:rFonts w:ascii="宋体" w:hAnsi="宋体" w:eastAsia="宋体"/>
          <w:bCs/>
          <w:color w:val="auto"/>
          <w:sz w:val="24"/>
          <w:szCs w:val="24"/>
          <w:highlight w:val="none"/>
        </w:rPr>
        <w:t xml:space="preserve">到相关来源网站页面进行复核并打印，作为证据留存。</w:t>
      </w:r>
      <w:r/>
    </w:p>
    <w:p>
      <w:pPr>
        <w:ind w:firstLine="480"/>
        <w:jc w:val="left"/>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21.4信用记录使用规则：</w:t>
      </w:r>
      <w:r>
        <w:rPr>
          <w:rFonts w:hint="eastAsia" w:ascii="宋体" w:hAnsi="宋体" w:eastAsia="宋体"/>
          <w:bCs/>
          <w:color w:val="auto"/>
          <w:sz w:val="24"/>
          <w:szCs w:val="24"/>
          <w:highlight w:val="none"/>
        </w:rPr>
        <w:t xml:space="preserve">在对供应商进行资格性审查时，应根据查询结果对供应商的不良信用记录逐项甄别确认。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21.4.2财政部门与法院、工商、税务等部门联合惩戒的失信信息，包括：</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21.4.2.1被列入失信被执行人名单；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21.4.2.2被列入重大税收违法案件当事人名单；</w:t>
      </w:r>
      <w:r/>
    </w:p>
    <w:p>
      <w:pPr>
        <w:ind w:firstLine="480"/>
        <w:spacing w:line="360" w:lineRule="auto"/>
        <w:rPr>
          <w:rFonts w:hint="eastAsia" w:ascii="宋体" w:hAnsi="宋体" w:eastAsia="宋体"/>
          <w:color w:val="auto"/>
          <w:sz w:val="24"/>
          <w:szCs w:val="24"/>
          <w:highlight w:val="none"/>
        </w:rPr>
      </w:pPr>
      <w:r/>
      <w:bookmarkStart w:id="21" w:name="_Hlk92794378"/>
      <w:r>
        <w:rPr>
          <w:rFonts w:hint="eastAsia" w:ascii="宋体" w:hAnsi="宋体" w:eastAsia="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21"/>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22.磋商小组</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22.1磋商小组由采购单位依法组建，由采购单位代表、专家评委组成。</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22.2磋商小组负责具体的磋商事务，并独立履行以下职责：</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22.2.1审查投标（响应）文件是否符合采购文件的要求，并做出评价；</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22.2.2可以要求供应商对投标（响应）文件有关事项做出解释或澄清；</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22.2.3推荐中标（成交）候选供应商名单；</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22.2.4向采购单位或者有关部门报告非法干预磋商工作的行为。</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22.3磋商小组成员应当履行下列义务：</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22.3.1遵纪守法，客观、公正、廉洁地履行职责；</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22.3.2按照采购文件规定的评审办法和评分标准进行评审，对评审意见承担个人责任；</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22.3.3对磋商过程和结果，以及供应商的商业秘密保密；</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22.3.4参与评审报告的起草；</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22.3.5配合相关部门的投诉处理工作；</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22.3.6配合采购单位答复供应商提出的质疑。</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评审内容的保密</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23</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磋商开始后，直到宣布授予中标（成交）单位合同为止，凡属于审查、澄清、评价和比较投标（响应）文件的所有资料，有关授予合同的信息都不应向供应商或与评审无关的其他人泄露。</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23</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在投标（响应）文件的审查、澄清、评价和比较以及授予合同的过程中，供应商对采购单位和磋商小组施加影响的任何行为，都将取消其成交资格。</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23</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在评审期间，</w:t>
      </w:r>
      <w:r>
        <w:rPr>
          <w:rFonts w:hint="eastAsia" w:ascii="宋体" w:hAnsi="宋体" w:eastAsia="宋体"/>
          <w:color w:val="auto"/>
          <w:szCs w:val="24"/>
          <w:highlight w:val="none"/>
          <w:shd w:val="clear" w:color="auto" w:fill="ffffff"/>
        </w:rPr>
        <w:t xml:space="preserve">采购人或采购代理机构将通过指定联络人与供应商进行联系。</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对投标（响应）文件初审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供应商的投标（响应）文件未按照本须知规定制作的；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未按本须知规定提交资格文件；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与采购文件有重大偏离；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供应商拒绝修正错误；</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供应商的报价是选择性的；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w:t>
      </w:r>
      <w:r>
        <w:rPr>
          <w:rFonts w:ascii="宋体" w:hAnsi="宋体" w:eastAsia="宋体"/>
          <w:color w:val="auto"/>
          <w:sz w:val="24"/>
          <w:szCs w:val="24"/>
          <w:highlight w:val="none"/>
        </w:rPr>
        <w:t xml:space="preserve">.6</w:t>
      </w:r>
      <w:r>
        <w:rPr>
          <w:rFonts w:hint="eastAsia" w:ascii="宋体" w:hAnsi="宋体" w:eastAsia="宋体"/>
          <w:color w:val="auto"/>
          <w:sz w:val="24"/>
          <w:szCs w:val="24"/>
          <w:highlight w:val="none"/>
        </w:rPr>
        <w:t xml:space="preserve">供应商的报价只投了部分内容；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24.1.7供应商的投标（响应）文件出现了磋商小组认为不应当雷同的情况；</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24.1.8其他被磋商小组认定无效的情况。</w:t>
      </w:r>
      <w:r/>
    </w:p>
    <w:p>
      <w:pPr>
        <w:ind w:firstLine="480"/>
        <w:spacing w:line="360" w:lineRule="auto"/>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24.2磋商小组将对确定为实质上响应的文件进行审核，看其是否有计算上或累加上的算术错误，修正错误的原则如下：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24.2.1</w:t>
      </w:r>
      <w:r>
        <w:rPr>
          <w:rFonts w:hint="eastAsia" w:ascii="宋体" w:hAnsi="宋体" w:eastAsia="宋体" w:cs="宋体"/>
          <w:color w:val="auto"/>
          <w:sz w:val="24"/>
          <w:szCs w:val="24"/>
          <w:highlight w:val="none"/>
          <w:shd w:val="clear" w:color="auto" w:fill="ffffff"/>
        </w:rPr>
        <w:t xml:space="preserve">投标（响应）文件中开标一览表（报价表）内容与投标（响应）文件中相应内容不一致的，以开标一览表（报价表）为准；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24.2.2大写金额和小写金额不一致的，以大写金额为准；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24.2.3单价金额小数点或者百分比有明显错位的，以开标一览表的总价为准，并修改单价；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24.2.4总价金额与按单价汇总金额不一致的，以单价金额计算结果为准。</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rPr>
        <w:t xml:space="preserve">3供应商不同意以上修正，则其投标将被拒绝。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投标（响应）文件的澄清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25.1</w:t>
      </w:r>
      <w:r>
        <w:rPr>
          <w:rFonts w:ascii="宋体" w:hAnsi="宋体" w:eastAsia="宋体"/>
          <w:color w:val="auto"/>
          <w:sz w:val="24"/>
          <w:szCs w:val="24"/>
          <w:highlight w:val="none"/>
        </w:rPr>
        <w:t xml:space="preserve">对于</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中含义不明确、同类问题表述不一致或者有明显文字和计算错误的内容，</w:t>
      </w:r>
      <w:r>
        <w:rPr>
          <w:rFonts w:hint="eastAsia" w:ascii="宋体" w:hAnsi="宋体" w:eastAsia="宋体"/>
          <w:color w:val="auto"/>
          <w:sz w:val="24"/>
          <w:szCs w:val="24"/>
          <w:highlight w:val="none"/>
        </w:rPr>
        <w:t xml:space="preserve">磋商小组</w:t>
      </w:r>
      <w:r>
        <w:rPr>
          <w:rFonts w:ascii="宋体" w:hAnsi="宋体" w:eastAsia="宋体"/>
          <w:color w:val="auto"/>
          <w:sz w:val="24"/>
          <w:szCs w:val="24"/>
          <w:highlight w:val="none"/>
        </w:rPr>
        <w:t xml:space="preserve">应当要求</w:t>
      </w:r>
      <w:r>
        <w:rPr>
          <w:rFonts w:hint="eastAsia" w:ascii="宋体" w:hAnsi="宋体" w:eastAsia="宋体"/>
          <w:color w:val="auto"/>
          <w:sz w:val="24"/>
          <w:szCs w:val="24"/>
          <w:highlight w:val="none"/>
        </w:rPr>
        <w:t xml:space="preserve">供应商做</w:t>
      </w:r>
      <w:r>
        <w:rPr>
          <w:rFonts w:ascii="宋体" w:hAnsi="宋体" w:eastAsia="宋体"/>
          <w:color w:val="auto"/>
          <w:sz w:val="24"/>
          <w:szCs w:val="24"/>
          <w:highlight w:val="none"/>
        </w:rPr>
        <w:t xml:space="preserve">出必要的澄清、说明或者补正。</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的澄清、说明或者补正不得超出</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的范围或者改变</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的实质性内容。</w:t>
      </w:r>
      <w:r/>
    </w:p>
    <w:p>
      <w:pPr>
        <w:ind w:firstLine="480"/>
        <w:spacing w:line="360" w:lineRule="auto"/>
        <w:rPr>
          <w:rFonts w:hint="eastAsia" w:ascii="宋体" w:hAnsi="宋体" w:eastAsia="宋体"/>
          <w:color w:val="auto"/>
          <w:sz w:val="24"/>
          <w:szCs w:val="24"/>
          <w:highlight w:val="none"/>
          <w:shd w:val="clear" w:color="auto" w:fill="ffffff"/>
        </w:rPr>
      </w:pPr>
      <w:r/>
      <w:bookmarkStart w:id="22" w:name="_Hlk158140503"/>
      <w:r/>
      <w:bookmarkStart w:id="23" w:name="_Hlk158140452"/>
      <w:r/>
      <w:bookmarkStart w:id="24" w:name="_Hlk90656398"/>
      <w:r>
        <w:rPr>
          <w:rFonts w:hint="eastAsia" w:ascii="宋体" w:hAnsi="宋体" w:eastAsia="宋体"/>
          <w:color w:val="auto"/>
          <w:sz w:val="24"/>
          <w:szCs w:val="24"/>
          <w:highlight w:val="none"/>
          <w:shd w:val="clear" w:color="auto" w:fill="ffffff"/>
        </w:rPr>
        <w:t xml:space="preserve">25.2本项目采用线上澄清</w:t>
      </w:r>
      <w:bookmarkEnd w:id="22"/>
      <w:r>
        <w:rPr>
          <w:rFonts w:hint="eastAsia" w:ascii="宋体" w:hAnsi="宋体" w:eastAsia="宋体"/>
          <w:color w:val="auto"/>
          <w:sz w:val="24"/>
          <w:szCs w:val="24"/>
          <w:highlight w:val="none"/>
          <w:shd w:val="clear" w:color="auto" w:fill="ffffff"/>
        </w:rPr>
        <w:t xml:space="preserve">。</w:t>
      </w:r>
      <w:bookmarkEnd w:id="23"/>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color w:val="auto"/>
          <w:highlight w:val="none"/>
        </w:rPr>
      </w:pPr>
      <w:r>
        <w:rPr>
          <w:rFonts w:hint="eastAsia" w:ascii="宋体" w:hAnsi="宋体" w:eastAsia="宋体"/>
          <w:color w:val="auto"/>
          <w:sz w:val="24"/>
          <w:szCs w:val="24"/>
          <w:highlight w:val="none"/>
          <w:shd w:val="clear" w:color="auto" w:fill="ffffff"/>
        </w:rPr>
        <w:t xml:space="preserve">25.2.2接到磋商小组澄清、说明和更正要求的供应商如未按规定做出澄清、说明和更正，其风险由供应商自行承担。</w:t>
      </w:r>
      <w:bookmarkEnd w:id="24"/>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项目的终止</w:t>
      </w:r>
      <w:r/>
    </w:p>
    <w:p>
      <w:pPr>
        <w:ind w:firstLine="480"/>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出现下列情形之一的，将终止竞争性磋商采购活动：</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26.</w:t>
      </w:r>
      <w:r>
        <w:rPr>
          <w:rFonts w:ascii="宋体" w:hAnsi="宋体" w:eastAsia="宋体"/>
          <w:bCs/>
          <w:color w:val="auto"/>
          <w:sz w:val="24"/>
          <w:szCs w:val="24"/>
          <w:highlight w:val="none"/>
        </w:rPr>
        <w:t xml:space="preserve">1因情况变化，不再符合规定的竞争性磋商采购方式适用情形的；</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26.</w:t>
      </w:r>
      <w:r>
        <w:rPr>
          <w:rFonts w:ascii="宋体" w:hAnsi="宋体" w:eastAsia="宋体"/>
          <w:bCs/>
          <w:color w:val="auto"/>
          <w:sz w:val="24"/>
          <w:szCs w:val="24"/>
          <w:highlight w:val="none"/>
        </w:rPr>
        <w:t xml:space="preserve">2出现影响采购公正的违法、违规行为的；</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26.</w:t>
      </w:r>
      <w:r>
        <w:rPr>
          <w:rFonts w:ascii="宋体" w:hAnsi="宋体" w:eastAsia="宋体"/>
          <w:bCs/>
          <w:color w:val="auto"/>
          <w:sz w:val="24"/>
          <w:szCs w:val="24"/>
          <w:highlight w:val="none"/>
        </w:rPr>
        <w:t xml:space="preserve">3在采购过程中符合要求的供应商或者报价未超过采购预算的供应商不足</w:t>
      </w:r>
      <w:r>
        <w:rPr>
          <w:rFonts w:hint="eastAsia" w:ascii="宋体" w:hAnsi="宋体" w:eastAsia="宋体"/>
          <w:bCs/>
          <w:color w:val="auto"/>
          <w:sz w:val="24"/>
          <w:szCs w:val="24"/>
          <w:highlight w:val="none"/>
        </w:rPr>
        <w:t xml:space="preserve">3</w:t>
      </w:r>
      <w:r>
        <w:rPr>
          <w:rFonts w:ascii="宋体" w:hAnsi="宋体" w:eastAsia="宋体"/>
          <w:bCs/>
          <w:color w:val="auto"/>
          <w:sz w:val="24"/>
          <w:szCs w:val="24"/>
          <w:highlight w:val="none"/>
        </w:rPr>
        <w:t xml:space="preserve">家的；</w:t>
      </w:r>
      <w:r/>
    </w:p>
    <w:p>
      <w:pPr>
        <w:ind w:firstLine="480"/>
        <w:spacing w:line="360" w:lineRule="auto"/>
        <w:tabs>
          <w:tab w:val="left" w:pos="753"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26.</w:t>
      </w:r>
      <w:r>
        <w:rPr>
          <w:rFonts w:ascii="宋体" w:hAnsi="宋体" w:eastAsia="宋体"/>
          <w:bCs/>
          <w:color w:val="auto"/>
          <w:sz w:val="24"/>
          <w:szCs w:val="24"/>
          <w:highlight w:val="none"/>
        </w:rPr>
        <w:t xml:space="preserve">4在采购活动中因重大变故，采购任务取消的。</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投标（响应）文件的评价和比较</w:t>
      </w:r>
      <w:r/>
    </w:p>
    <w:p>
      <w:pPr>
        <w:ind w:firstLine="502"/>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502"/>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中标（成交）单位的确认</w:t>
      </w:r>
      <w:r/>
    </w:p>
    <w:p>
      <w:pPr>
        <w:pStyle w:val="951"/>
        <w:ind w:firstLine="502"/>
        <w:jc w:val="both"/>
        <w:spacing w:line="348"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pStyle w:val="951"/>
        <w:ind w:firstLine="502"/>
        <w:jc w:val="both"/>
        <w:spacing w:line="348"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8.2经磋商小组评审并确定中标（成交）单位后，采购人将在规定的时间内将中标（成交）结果在相关</w:t>
      </w:r>
      <w:r>
        <w:rPr>
          <w:rFonts w:hint="eastAsia" w:ascii="宋体" w:hAnsi="宋体" w:eastAsia="宋体"/>
          <w:color w:val="auto"/>
          <w:szCs w:val="24"/>
          <w:highlight w:val="none"/>
        </w:rPr>
        <w:t xml:space="preserve">媒体上予以公告。参加磋商的各投标（响应）单位如对公告结果有异议，应在中标（成交）结果公告期满后七个工作日内，以书面形式向采购人提出质疑，同时该质疑应有投标（响应）单位法定代表人（负责人）或参加磋商的代理人签署。采购人将在收到经投标（响应）单位法定代表人（负责人）或参加响应供应商的代理人签署的书面质疑后七个工作日内，对质疑内容做出答复。如投标（响应）单位未在中标（成交）结果公告期满后七个工作日内向采购人提出质疑或质疑未经投标（响应）单位法定代表人（负责人）或参加磋商的代理人签署的，采购人有权对该质疑不予答复。</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bCs/>
          <w:color w:val="auto"/>
          <w:sz w:val="24"/>
          <w:highlight w:val="none"/>
          <w:shd w:val="clear" w:color="auto" w:fill="ffffff"/>
        </w:rPr>
        <w:t xml:space="preserve">E.授予合同</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合同授予标准</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中标（成交）通知书</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color w:val="auto"/>
          <w:sz w:val="24"/>
          <w:szCs w:val="24"/>
          <w:highlight w:val="none"/>
          <w:shd w:val="clear" w:color="auto" w:fill="ffffff"/>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color w:val="auto"/>
          <w:highlight w:val="none"/>
        </w:rPr>
      </w:pPr>
      <w:r>
        <w:rPr>
          <w:rFonts w:hint="eastAsia" w:ascii="宋体" w:hAnsi="宋体" w:eastAsia="宋体"/>
          <w:color w:val="auto"/>
          <w:sz w:val="24"/>
          <w:szCs w:val="24"/>
          <w:highlight w:val="none"/>
          <w:shd w:val="clear" w:color="auto" w:fill="ffffff"/>
        </w:rPr>
        <w:t xml:space="preserve">30.2采购人或采购代理机构对未中标（成交）单位不承担解释未中标（成交）原因的义务。</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30.3中标（成交）通知书将成为合同的组成部分。</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合同的签订</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31.1中标（成交）单位应按采购单位规定的时间和地点，由法定代表人（负责人）或代理人与甲方代表签订合同。</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bCs/>
          <w:color w:val="auto"/>
          <w:sz w:val="24"/>
          <w:highlight w:val="none"/>
          <w:shd w:val="clear" w:color="auto" w:fill="ffffff"/>
        </w:rPr>
        <w:t xml:space="preserve">F.其他事项</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w:t>
      </w:r>
      <w:r>
        <w:rPr>
          <w:rFonts w:ascii="宋体" w:hAnsi="宋体" w:eastAsia="宋体"/>
          <w:b/>
          <w:color w:val="auto"/>
          <w:sz w:val="24"/>
          <w:szCs w:val="24"/>
          <w:highlight w:val="none"/>
        </w:rPr>
        <w:t xml:space="preserve">.质疑</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32.1质疑及答复遵守《政府采购质疑和投诉办法》（中华人民共和国财政部令第94号）规定。</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②对采购过程提出质疑的，为各采购程序环节结束之日；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对采购文件内容质疑时，需提供在采购交易系统中下载本项目采购文件的</w:t>
      </w:r>
      <w:bookmarkStart w:id="25" w:name="_Hlk159144357"/>
      <w:r>
        <w:rPr>
          <w:rFonts w:hint="eastAsia" w:ascii="宋体" w:hAnsi="宋体" w:eastAsia="宋体"/>
          <w:b/>
          <w:bCs/>
          <w:color w:val="auto"/>
          <w:sz w:val="24"/>
          <w:szCs w:val="24"/>
          <w:highlight w:val="none"/>
        </w:rPr>
        <w:t xml:space="preserve">《投标供应商确认函》</w:t>
      </w:r>
      <w:bookmarkEnd w:id="25"/>
      <w:r>
        <w:rPr>
          <w:rFonts w:hint="eastAsia" w:ascii="宋体" w:hAnsi="宋体" w:eastAsia="宋体"/>
          <w:b/>
          <w:bCs/>
          <w:color w:val="auto"/>
          <w:sz w:val="24"/>
          <w:szCs w:val="24"/>
          <w:highlight w:val="none"/>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olor w:val="auto"/>
          <w:sz w:val="24"/>
          <w:szCs w:val="24"/>
          <w:highlight w:val="none"/>
        </w:rPr>
        <w:t xml:space="preserve">政府采购供应商质疑函范本</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32.6</w:t>
      </w:r>
      <w:bookmarkStart w:id="26" w:name="_Hlk193378265"/>
      <w:r>
        <w:rPr>
          <w:rFonts w:hint="eastAsia" w:ascii="宋体" w:hAnsi="宋体" w:eastAsia="宋体"/>
          <w:color w:val="auto"/>
          <w:sz w:val="24"/>
          <w:szCs w:val="24"/>
          <w:highlight w:val="none"/>
        </w:rPr>
        <w:t xml:space="preserve">供应商提出书面质疑必须有理、有据，不得捏造事实、提供虚假材料进行恶意质疑。</w:t>
      </w:r>
      <w:r>
        <w:rPr>
          <w:rFonts w:ascii="宋体" w:hAnsi="宋体" w:eastAsia="宋体"/>
          <w:color w:val="auto"/>
          <w:sz w:val="24"/>
          <w:szCs w:val="24"/>
          <w:highlight w:val="none"/>
        </w:rPr>
        <w:t xml:space="preserve">否则，一经查实，将报请政府采购监管部门按照政府采购相关法规规定，依法进行处罚和失信记录。</w:t>
      </w:r>
      <w:bookmarkEnd w:id="26"/>
      <w:r/>
      <w:r/>
    </w:p>
    <w:p>
      <w:pPr>
        <w:ind w:firstLine="480"/>
        <w:spacing w:line="360" w:lineRule="auto"/>
        <w:tabs>
          <w:tab w:val="left" w:pos="753" w:leader="none"/>
        </w:tabs>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32.7</w:t>
      </w:r>
      <w:bookmarkStart w:id="27" w:name="_Hlk193378477"/>
      <w:r>
        <w:rPr>
          <w:rFonts w:hint="eastAsia" w:ascii="宋体" w:hAnsi="宋体" w:eastAsia="宋体"/>
          <w:color w:val="auto"/>
          <w:sz w:val="24"/>
          <w:szCs w:val="24"/>
          <w:highlight w:val="none"/>
          <w:lang w:val="zh-CN"/>
        </w:rPr>
        <w:t xml:space="preserve">质疑递交信息：详见第一章采购人及采购代理机构联系信息。</w:t>
      </w:r>
      <w:bookmarkEnd w:id="27"/>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代理服务费</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33.1中标（成交）单位须按前附表的规定计算并支付代理服务费，该费用应在领取中标（成交）通知书时付清。</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33.2中标（成交）单位如果未按规定缴纳代理服务费，采购单位将保留诉讼的权利。</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34.未尽事宜</w:t>
      </w:r>
      <w:r/>
    </w:p>
    <w:p>
      <w:pPr>
        <w:ind w:firstLine="480"/>
        <w:spacing w:line="360" w:lineRule="auto"/>
        <w:rPr>
          <w:rFonts w:hint="eastAsia" w:ascii="宋体" w:hAnsi="宋体" w:eastAsia="宋体"/>
          <w:color w:val="auto"/>
          <w:sz w:val="24"/>
          <w:szCs w:val="24"/>
          <w:highlight w:val="none"/>
          <w:shd w:val="clear" w:color="auto" w:fill="ffffff"/>
        </w:rPr>
      </w:pPr>
      <w:r>
        <w:rPr>
          <w:rFonts w:ascii="宋体" w:hAnsi="宋体" w:eastAsia="宋体"/>
          <w:color w:val="auto"/>
          <w:sz w:val="24"/>
          <w:szCs w:val="24"/>
          <w:highlight w:val="none"/>
          <w:shd w:val="clear" w:color="auto" w:fill="ffffff"/>
        </w:rPr>
        <w:t xml:space="preserve">未尽事宜应按《中华人民共和国</w:t>
      </w:r>
      <w:r>
        <w:rPr>
          <w:rFonts w:hint="eastAsia" w:ascii="宋体" w:hAnsi="宋体" w:eastAsia="宋体"/>
          <w:color w:val="auto"/>
          <w:sz w:val="24"/>
          <w:szCs w:val="24"/>
          <w:highlight w:val="none"/>
          <w:shd w:val="clear" w:color="auto" w:fill="ffffff"/>
        </w:rPr>
        <w:t xml:space="preserve">民</w:t>
      </w:r>
      <w:r>
        <w:rPr>
          <w:rFonts w:ascii="宋体" w:hAnsi="宋体" w:eastAsia="宋体"/>
          <w:color w:val="auto"/>
          <w:sz w:val="24"/>
          <w:szCs w:val="24"/>
          <w:highlight w:val="none"/>
          <w:shd w:val="clear" w:color="auto" w:fill="ffffff"/>
        </w:rPr>
        <w:t xml:space="preserve">法</w:t>
      </w:r>
      <w:r>
        <w:rPr>
          <w:rFonts w:hint="eastAsia" w:ascii="宋体" w:hAnsi="宋体" w:eastAsia="宋体"/>
          <w:color w:val="auto"/>
          <w:sz w:val="24"/>
          <w:szCs w:val="24"/>
          <w:highlight w:val="none"/>
          <w:shd w:val="clear" w:color="auto" w:fill="ffffff"/>
        </w:rPr>
        <w:t xml:space="preserve">典</w:t>
      </w:r>
      <w:r>
        <w:rPr>
          <w:rFonts w:ascii="宋体" w:hAnsi="宋体" w:eastAsia="宋体"/>
          <w:color w:val="auto"/>
          <w:sz w:val="24"/>
          <w:szCs w:val="24"/>
          <w:highlight w:val="none"/>
          <w:shd w:val="clear" w:color="auto" w:fill="ffffff"/>
        </w:rPr>
        <w:t xml:space="preserve">》、《中华人民共和国政府采购法》以及其</w:t>
      </w:r>
      <w:r>
        <w:rPr>
          <w:rFonts w:hint="eastAsia" w:ascii="宋体" w:hAnsi="宋体" w:eastAsia="宋体"/>
          <w:color w:val="auto"/>
          <w:sz w:val="24"/>
          <w:szCs w:val="24"/>
          <w:highlight w:val="none"/>
          <w:shd w:val="clear" w:color="auto" w:fill="ffffff"/>
        </w:rPr>
        <w:t xml:space="preserve">它</w:t>
      </w:r>
      <w:r>
        <w:rPr>
          <w:rFonts w:ascii="宋体" w:hAnsi="宋体" w:eastAsia="宋体"/>
          <w:color w:val="auto"/>
          <w:sz w:val="24"/>
          <w:szCs w:val="24"/>
          <w:highlight w:val="none"/>
          <w:shd w:val="clear" w:color="auto" w:fill="ffffff"/>
        </w:rPr>
        <w:t xml:space="preserve">相关法律、法规之规定解释</w:t>
      </w:r>
      <w:r>
        <w:rPr>
          <w:rFonts w:hint="eastAsia" w:ascii="宋体" w:hAnsi="宋体" w:eastAsia="宋体"/>
          <w:color w:val="auto"/>
          <w:sz w:val="24"/>
          <w:szCs w:val="24"/>
          <w:highlight w:val="none"/>
          <w:shd w:val="clear" w:color="auto" w:fill="ffffff"/>
        </w:rPr>
        <w:t xml:space="preserve">。</w:t>
      </w:r>
      <w:r/>
    </w:p>
    <w:p>
      <w:pPr>
        <w:pStyle w:val="95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before="0" w:after="0" w:line="360" w:lineRule="auto"/>
        <w:rPr>
          <w:rFonts w:hint="eastAsia" w:ascii="宋体" w:hAnsi="宋体" w:eastAsia="宋体"/>
          <w:b w:val="0"/>
          <w:color w:val="auto"/>
          <w:sz w:val="52"/>
          <w:highlight w:val="none"/>
        </w:rPr>
      </w:pPr>
      <w:r/>
      <w:bookmarkStart w:id="28" w:name="_Toc5947"/>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投标（响应）文件格式</w:t>
      </w:r>
      <w:bookmarkEnd w:id="28"/>
      <w:r/>
      <w:r/>
    </w:p>
    <w:p>
      <w:pPr>
        <w:pStyle w:val="965"/>
        <w:ind w:firstLine="0"/>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说明：</w:t>
      </w:r>
      <w:r/>
    </w:p>
    <w:p>
      <w:pPr>
        <w:pStyle w:val="965"/>
        <w:ind w:firstLine="482"/>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对本章所有的格式，供应商可根据自身情况进行补充和修改，但补充和修改不得造成与本格式内容有实质性的违背。</w:t>
      </w:r>
      <w:r/>
    </w:p>
    <w:p>
      <w:pPr>
        <w:pStyle w:val="965"/>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 w:val="21"/>
          <w:szCs w:val="21"/>
          <w:highlight w:val="none"/>
        </w:rPr>
        <w:br w:type="page" w:clear="all"/>
      </w:r>
      <w:r>
        <w:rPr>
          <w:rFonts w:ascii="宋体" w:hAnsi="宋体" w:eastAsia="宋体"/>
          <w:b/>
          <w:color w:val="auto"/>
          <w:szCs w:val="24"/>
          <w:highlight w:val="none"/>
        </w:rPr>
        <w:t xml:space="preserve">1</w:t>
      </w:r>
      <w:r>
        <w:rPr>
          <w:rFonts w:hint="eastAsia" w:ascii="宋体" w:hAnsi="宋体" w:eastAsia="宋体"/>
          <w:b/>
          <w:color w:val="auto"/>
          <w:szCs w:val="24"/>
          <w:highlight w:val="none"/>
        </w:rPr>
        <w:t xml:space="preserve">、（供应商）法定代表人（负责人）授权委托书</w:t>
      </w:r>
      <w:r/>
    </w:p>
    <w:p>
      <w:pPr>
        <w:pStyle w:val="965"/>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65"/>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授权委托书</w:t>
      </w:r>
      <w:r/>
    </w:p>
    <w:p>
      <w:pPr>
        <w:pStyle w:val="965"/>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（投标人名称）的法定代表人（负责人），现授权委托</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（姓名+手机号码）为我公司代理人，以本公司的名义参加</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（采购人名称）组织实施的编号为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5"/>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2、投标（响应）函</w:t>
      </w:r>
      <w:r/>
    </w:p>
    <w:p>
      <w:pPr>
        <w:pStyle w:val="970"/>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投标（响应）函</w:t>
      </w:r>
      <w:r/>
    </w:p>
    <w:p>
      <w:pPr>
        <w:pStyle w:val="971"/>
        <w:rPr>
          <w:rFonts w:hint="eastAsia" w:hAnsi="宋体" w:eastAsia="宋体"/>
          <w:color w:val="auto"/>
          <w:sz w:val="24"/>
          <w:szCs w:val="24"/>
          <w:highlight w:val="none"/>
        </w:rPr>
      </w:pPr>
      <w:r>
        <w:rPr>
          <w:rFonts w:hint="eastAsia" w:hAnsi="宋体" w:eastAsia="宋体"/>
          <w:color w:val="auto"/>
          <w:sz w:val="24"/>
          <w:szCs w:val="24"/>
          <w:highlight w:val="none"/>
          <w:u w:val="single"/>
        </w:rPr>
        <w:t xml:space="preserve">苏州诚和招投标咨询有限公司</w:t>
      </w:r>
      <w:r>
        <w:rPr>
          <w:rFonts w:hint="eastAsia" w:hAnsi="宋体" w:eastAsia="宋体"/>
          <w:color w:val="auto"/>
          <w:sz w:val="24"/>
          <w:szCs w:val="24"/>
          <w:highlight w:val="none"/>
        </w:rPr>
        <w:t xml:space="preserve">：</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号采购文件，经仔细阅读和研究，我们决定参加磋商活动。</w:t>
      </w:r>
      <w:r/>
    </w:p>
    <w:p>
      <w:pPr>
        <w:numPr>
          <w:ilvl w:val="0"/>
          <w:numId w:val="1"/>
        </w:num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我们愿意按照采购文件的一切要求，提供完成该项目的全部内容，我们的报价包括服务的内容、管理、保险、人工、服务费、合理利润、税金、政策性文件规定及合同包含的所有风险、责任等各项应有费用。</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2、如果我们的投标（响应）文件被接受，我们将严格履行采购文件中规定的每一项要求，按期、按质、按量履行合同的义务。</w:t>
      </w:r>
      <w:r/>
    </w:p>
    <w:p>
      <w:pPr>
        <w:pStyle w:val="970"/>
        <w:ind w:firstLine="480"/>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w:t>
      </w:r>
      <w:r>
        <w:rPr>
          <w:rFonts w:hint="eastAsia" w:hAnsi="宋体" w:eastAsia="宋体"/>
          <w:color w:val="auto"/>
          <w:sz w:val="24"/>
          <w:szCs w:val="24"/>
          <w:highlight w:val="none"/>
        </w:rPr>
        <w:t xml:space="preserve">采购</w:t>
      </w:r>
      <w:r>
        <w:rPr>
          <w:rFonts w:hAnsi="宋体" w:eastAsia="宋体"/>
          <w:color w:val="auto"/>
          <w:sz w:val="24"/>
          <w:szCs w:val="24"/>
          <w:highlight w:val="none"/>
        </w:rPr>
        <w:t xml:space="preserve">文件，包括</w:t>
      </w:r>
      <w:r>
        <w:rPr>
          <w:rFonts w:hint="eastAsia" w:hAnsi="宋体" w:eastAsia="宋体"/>
          <w:color w:val="auto"/>
          <w:sz w:val="24"/>
          <w:szCs w:val="24"/>
          <w:highlight w:val="none"/>
        </w:rPr>
        <w:t xml:space="preserve">更正公告（</w:t>
      </w:r>
      <w:r>
        <w:rPr>
          <w:rFonts w:hAnsi="宋体" w:eastAsia="宋体"/>
          <w:color w:val="auto"/>
          <w:sz w:val="24"/>
          <w:szCs w:val="24"/>
          <w:highlight w:val="none"/>
        </w:rPr>
        <w:t xml:space="preserve">如</w:t>
      </w:r>
      <w:r>
        <w:rPr>
          <w:rFonts w:hint="eastAsia" w:hAnsi="宋体" w:eastAsia="宋体"/>
          <w:color w:val="auto"/>
          <w:sz w:val="24"/>
          <w:szCs w:val="24"/>
          <w:highlight w:val="none"/>
        </w:rPr>
        <w:t xml:space="preserve">有）</w:t>
      </w:r>
      <w:r>
        <w:rPr>
          <w:rFonts w:hAnsi="宋体" w:eastAsia="宋体"/>
          <w:color w:val="auto"/>
          <w:sz w:val="24"/>
          <w:szCs w:val="24"/>
          <w:highlight w:val="none"/>
        </w:rPr>
        <w:t xml:space="preserve">。我们完全理解并同意放弃对这方面有不明及误解的权力。</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4、我们同意按采购文件中的规定，本投标（响应）文件的有效期限为投标（响应）文件提交截止之日起九十天。</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5、我们愿意提供采购单位在采购文件中要求的所有资料。</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6、我们愿意遵守采购文件中所列的收费标准。</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7、我们承诺该投标（响应）文件在磋商开始后的全过程中保持有效，不做任何更改和变动。</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8、我们承诺我公司符合采购文件中申请人的资格要求，若与真实情况不符，本公司愿意承担由此而产生的一切后果。</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9、我们声明：我们在参加本次政府采购活动前3年内在经营活动中没有重大违法记录。</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10、如果我们中标（成交），我们愿意按采购文件的规定支付代理服务费和履约保证金。</w:t>
      </w:r>
      <w:r/>
    </w:p>
    <w:p>
      <w:pPr>
        <w:pStyle w:val="970"/>
        <w:ind w:firstLine="480"/>
        <w:rPr>
          <w:rFonts w:hint="eastAsia"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1、综合说明：</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）对采购文件有不同意见的偏离说明；（</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）其它说明。</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所有有关投标（响应）文件的函电，请按下列地址联系：</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单位：                             联系人：</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地址：                             邮政编码：</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联系电话：                         电子邮箱：</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银行账号：</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银行开户行：</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数字人民币开户行（如有）：</w:t>
      </w:r>
      <w:r/>
    </w:p>
    <w:p>
      <w:pPr>
        <w:pStyle w:val="970"/>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数字人民币账户（数币钱包ID）：</w:t>
      </w:r>
      <w:r/>
    </w:p>
    <w:p>
      <w:pPr>
        <w:pStyle w:val="970"/>
        <w:ind w:firstLine="480"/>
        <w:spacing w:line="320" w:lineRule="exact"/>
        <w:rPr>
          <w:rFonts w:hint="eastAsia" w:hAnsi="宋体" w:eastAsia="宋体"/>
          <w:color w:val="auto"/>
          <w:sz w:val="24"/>
          <w:szCs w:val="24"/>
          <w:highlight w:val="none"/>
        </w:rPr>
      </w:pPr>
      <w:r>
        <w:rPr>
          <w:rFonts w:hint="eastAsia"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5"/>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ascii="宋体" w:hAnsi="宋体" w:eastAsia="宋体"/>
          <w:b/>
          <w:color w:val="auto"/>
          <w:szCs w:val="24"/>
          <w:highlight w:val="none"/>
        </w:rPr>
        <w:t xml:space="preserve">3</w:t>
      </w:r>
      <w:r>
        <w:rPr>
          <w:rFonts w:hint="eastAsia" w:ascii="宋体" w:hAnsi="宋体" w:eastAsia="宋体"/>
          <w:b/>
          <w:color w:val="auto"/>
          <w:szCs w:val="24"/>
          <w:highlight w:val="none"/>
        </w:rPr>
        <w:t xml:space="preserve">、</w:t>
      </w:r>
      <w:r>
        <w:rPr>
          <w:rFonts w:hint="eastAsia" w:ascii="宋体" w:hAnsi="宋体" w:eastAsia="宋体" w:cs="宋体"/>
          <w:b/>
          <w:color w:val="auto"/>
          <w:highlight w:val="none"/>
        </w:rPr>
        <w:t xml:space="preserve">开标一览表</w:t>
      </w:r>
      <w:r/>
    </w:p>
    <w:p>
      <w:pPr>
        <w:jc w:val="center"/>
        <w:spacing w:line="360" w:lineRule="auto"/>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开标一览表（总报价）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投标人全称（加盖公章）：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分包号：采购包1</w:t>
      </w:r>
      <w:r/>
    </w:p>
    <w:tbl>
      <w:tblPr>
        <w:tblStyle w:val="948"/>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甪直镇居民意外综合保险</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小写： 560,000.00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伍拾陆万元整</w:t>
            </w:r>
            <w:r/>
          </w:p>
        </w:tc>
      </w:tr>
    </w:tbl>
    <w:p>
      <w:pPr>
        <w:jc w:val="center"/>
        <w:spacing w:line="360" w:lineRule="auto"/>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righ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959"/>
        <w:ind w:left="0" w:firstLine="0"/>
        <w:spacing w:after="0" w:line="360" w:lineRule="auto"/>
        <w:rPr>
          <w:color w:val="auto"/>
          <w:sz w:val="24"/>
          <w:szCs w:val="24"/>
          <w:highlight w:val="none"/>
          <w:lang w:val="zh-CN"/>
        </w:rPr>
      </w:pPr>
      <w:r>
        <w:rPr>
          <w:rFonts w:hint="eastAsia"/>
          <w:color w:val="auto"/>
          <w:sz w:val="24"/>
          <w:szCs w:val="24"/>
          <w:highlight w:val="none"/>
          <w:lang w:val="zh-CN"/>
        </w:rPr>
        <w:t xml:space="preserve">填写说明:</w:t>
      </w:r>
      <w:r/>
    </w:p>
    <w:p>
      <w:pPr>
        <w:pStyle w:val="959"/>
        <w:ind w:left="0" w:firstLine="0"/>
        <w:spacing w:after="0" w:line="360" w:lineRule="auto"/>
        <w:rPr>
          <w:color w:val="auto"/>
          <w:sz w:val="24"/>
          <w:szCs w:val="24"/>
          <w:highlight w:val="none"/>
          <w:u w:val="single"/>
        </w:rPr>
      </w:pPr>
      <w:r>
        <w:rPr>
          <w:rFonts w:hint="eastAsia"/>
          <w:color w:val="auto"/>
          <w:sz w:val="24"/>
          <w:szCs w:val="24"/>
          <w:highlight w:val="none"/>
          <w:u w:val="single"/>
          <w:lang w:val="zh-CN"/>
        </w:rPr>
        <w:t xml:space="preserve">1、开标一览表必须加盖投标</w:t>
      </w:r>
      <w:r>
        <w:rPr>
          <w:rFonts w:hint="eastAsia"/>
          <w:color w:val="auto"/>
          <w:sz w:val="24"/>
          <w:szCs w:val="24"/>
          <w:highlight w:val="none"/>
          <w:u w:val="single"/>
        </w:rPr>
        <w:t xml:space="preserve">人公章（复印件无效）。</w:t>
      </w:r>
      <w:r/>
    </w:p>
    <w:p>
      <w:pPr>
        <w:pStyle w:val="959"/>
        <w:ind w:left="0" w:firstLine="0"/>
        <w:spacing w:after="0" w:line="360" w:lineRule="auto"/>
        <w:rPr>
          <w:color w:val="auto"/>
          <w:sz w:val="24"/>
          <w:szCs w:val="24"/>
          <w:highlight w:val="none"/>
          <w:u w:val="single"/>
          <w:lang w:val="zh-CN"/>
        </w:rPr>
      </w:pPr>
      <w:r>
        <w:rPr>
          <w:rFonts w:hint="eastAsia"/>
          <w:color w:val="auto"/>
          <w:sz w:val="24"/>
          <w:szCs w:val="24"/>
          <w:highlight w:val="none"/>
          <w:u w:val="single"/>
          <w:lang w:val="zh-CN"/>
        </w:rPr>
        <w:t xml:space="preserve">2、如有分包，投标人投任何</w:t>
      </w:r>
      <w:r>
        <w:rPr>
          <w:rFonts w:hint="eastAsia"/>
          <w:color w:val="auto"/>
          <w:sz w:val="24"/>
          <w:szCs w:val="24"/>
          <w:highlight w:val="none"/>
          <w:u w:val="single"/>
        </w:rPr>
        <w:t xml:space="preserve">一个</w:t>
      </w:r>
      <w:r>
        <w:rPr>
          <w:rFonts w:hint="eastAsia"/>
          <w:color w:val="auto"/>
          <w:sz w:val="24"/>
          <w:szCs w:val="24"/>
          <w:highlight w:val="none"/>
          <w:u w:val="single"/>
          <w:lang w:val="zh-CN"/>
        </w:rPr>
        <w:t xml:space="preserve">包的标的，</w:t>
      </w:r>
      <w:r>
        <w:rPr>
          <w:rFonts w:hint="eastAsia"/>
          <w:color w:val="auto"/>
          <w:sz w:val="24"/>
          <w:szCs w:val="24"/>
          <w:highlight w:val="none"/>
          <w:u w:val="single"/>
        </w:rPr>
        <w:t xml:space="preserve">都需单</w:t>
      </w:r>
      <w:r>
        <w:rPr>
          <w:rFonts w:hint="eastAsia"/>
          <w:color w:val="auto"/>
          <w:sz w:val="24"/>
          <w:szCs w:val="24"/>
          <w:highlight w:val="none"/>
          <w:u w:val="single"/>
          <w:lang w:val="zh-CN"/>
        </w:rPr>
        <w:t xml:space="preserve">独填写开标一览表。</w:t>
      </w:r>
      <w:r/>
    </w:p>
    <w:p>
      <w:pPr>
        <w:pStyle w:val="959"/>
        <w:ind w:left="0" w:firstLine="0"/>
        <w:spacing w:after="0" w:line="360" w:lineRule="auto"/>
        <w:rPr>
          <w:rFonts w:hint="eastAsia" w:ascii="宋体" w:hAnsi="宋体"/>
          <w:b/>
          <w:color w:val="auto"/>
          <w:sz w:val="24"/>
          <w:szCs w:val="24"/>
          <w:highlight w:val="none"/>
        </w:rPr>
        <w:outlineLvl w:val="1"/>
      </w:pPr>
      <w:r>
        <w:rPr>
          <w:rFonts w:ascii="宋体" w:hAnsi="宋体"/>
          <w:color w:val="auto"/>
          <w:sz w:val="24"/>
          <w:szCs w:val="24"/>
          <w:highlight w:val="none"/>
        </w:rPr>
        <w:br w:type="page" w:clear="all"/>
      </w:r>
      <w:r>
        <w:rPr>
          <w:rFonts w:hint="eastAsia" w:ascii="宋体" w:hAnsi="宋体"/>
          <w:b/>
          <w:color w:val="auto"/>
          <w:sz w:val="24"/>
          <w:szCs w:val="24"/>
          <w:highlight w:val="none"/>
        </w:rPr>
        <w:t xml:space="preserve">4、报价明细表</w:t>
      </w:r>
      <w:r/>
    </w:p>
    <w:p>
      <w:pPr>
        <w:pStyle w:val="970"/>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报价明细表</w:t>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采购编号：                                              价格单位：元</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90"/>
        <w:gridCol w:w="1587"/>
        <w:gridCol w:w="1840"/>
        <w:gridCol w:w="1453"/>
        <w:gridCol w:w="1013"/>
        <w:gridCol w:w="1461"/>
      </w:tblGrid>
      <w:tr>
        <w:trPr>
          <w:jc w:val="center"/>
          <w:trHeight w:val="823"/>
        </w:trPr>
        <w:tc>
          <w:tcPr>
            <w:tcW w:w="814"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690"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保险险种</w:t>
            </w:r>
            <w:r/>
          </w:p>
        </w:tc>
        <w:tc>
          <w:tcPr>
            <w:tcW w:w="15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每人保费金额</w:t>
            </w:r>
            <w:r/>
          </w:p>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（元/人）</w:t>
            </w:r>
            <w:r/>
          </w:p>
        </w:tc>
        <w:tc>
          <w:tcPr>
            <w:tcW w:w="1840"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预计总数量</w:t>
            </w:r>
            <w:r/>
          </w:p>
        </w:tc>
        <w:tc>
          <w:tcPr>
            <w:tcW w:w="1453"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总保费金额</w:t>
            </w:r>
            <w:r/>
          </w:p>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（元）</w:t>
            </w:r>
            <w:r/>
          </w:p>
        </w:tc>
        <w:tc>
          <w:tcPr>
            <w:tcW w:w="1013"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保险期限</w:t>
            </w:r>
            <w:r/>
          </w:p>
        </w:tc>
        <w:tc>
          <w:tcPr>
            <w:tcW w:w="1461"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备注</w:t>
            </w:r>
            <w:r/>
          </w:p>
        </w:tc>
      </w:tr>
      <w:tr>
        <w:trPr>
          <w:jc w:val="center"/>
          <w:trHeight w:val="692"/>
        </w:trPr>
        <w:tc>
          <w:tcPr>
            <w:tcW w:w="814"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6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甪直镇居民意外综合保险</w:t>
            </w:r>
            <w:r/>
          </w:p>
        </w:tc>
        <w:tc>
          <w:tcPr>
            <w:tcW w:w="15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4元/人</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按照140000人口预估</w:t>
            </w:r>
            <w:r/>
          </w:p>
        </w:tc>
        <w:tc>
          <w:tcPr>
            <w:tcW w:w="14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560,000.00</w:t>
            </w:r>
            <w:r/>
          </w:p>
        </w:tc>
        <w:tc>
          <w:tcPr>
            <w:tcW w:w="1013"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1年</w:t>
            </w:r>
            <w:r/>
          </w:p>
        </w:tc>
        <w:tc>
          <w:tcPr>
            <w:tcW w:w="1461"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b/>
                <w:bCs/>
                <w:color w:val="auto"/>
                <w:sz w:val="24"/>
                <w:szCs w:val="24"/>
                <w:highlight w:val="none"/>
              </w:rPr>
              <w:t xml:space="preserve">最终按实际投保人数结算。</w:t>
            </w:r>
            <w:r/>
          </w:p>
        </w:tc>
      </w:tr>
      <w:tr>
        <w:trPr>
          <w:jc w:val="center"/>
          <w:trHeight w:val="692"/>
        </w:trPr>
        <w:tc>
          <w:tcPr>
            <w:gridSpan w:val="7"/>
            <w:tcW w:w="9858" w:type="dxa"/>
            <w:vAlign w:val="center"/>
            <w:textDirection w:val="lrTb"/>
            <w:noWrap w:val="false"/>
          </w:tcPr>
          <w:p>
            <w:pPr>
              <w:pStyle w:val="982"/>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总报价：人民币伍拾陆万元整（¥560,000.00元）</w:t>
            </w:r>
            <w:r/>
          </w:p>
        </w:tc>
      </w:tr>
    </w:tbl>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70"/>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注：本次报价采用固定单价，即不再进行价格竞争，未承诺的为非实质性响应文件，不进入评审。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jc w:val="right"/>
        <w:spacing w:line="360" w:lineRule="auto"/>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65"/>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rPr>
        <w:t xml:space="preserve">5、</w:t>
      </w:r>
      <w:r>
        <w:rPr>
          <w:rFonts w:hint="eastAsia" w:ascii="宋体" w:hAnsi="宋体" w:eastAsia="宋体" w:cs="宋体"/>
          <w:b/>
          <w:color w:val="auto"/>
          <w:szCs w:val="24"/>
          <w:highlight w:val="none"/>
        </w:rPr>
        <w:t xml:space="preserve">保险条款说明</w:t>
      </w:r>
      <w:r/>
    </w:p>
    <w:p>
      <w:pPr>
        <w:pStyle w:val="972"/>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72"/>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保险条款说明</w:t>
      </w:r>
      <w:r/>
    </w:p>
    <w:p>
      <w:pPr>
        <w:pStyle w:val="973"/>
        <w:ind w:firstLine="0"/>
        <w:jc w:val="center"/>
        <w:rPr>
          <w:rFonts w:hint="eastAsia" w:ascii="宋体" w:hAnsi="宋体"/>
          <w:b/>
          <w:color w:val="auto"/>
          <w:highlight w:val="none"/>
        </w:rPr>
      </w:pPr>
      <w:r>
        <w:rPr>
          <w:rFonts w:hint="eastAsia" w:ascii="宋体" w:hAnsi="宋体"/>
          <w:b/>
          <w:color w:val="auto"/>
          <w:highlight w:val="none"/>
        </w:rPr>
      </w:r>
      <w:r/>
    </w:p>
    <w:p>
      <w:pPr>
        <w:ind w:firstLine="482"/>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致： </w:t>
      </w:r>
      <w:r/>
    </w:p>
    <w:p>
      <w:pPr>
        <w:ind w:firstLine="482"/>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、对于本项目采购文件中涉及的险种条款及相关措辞，完全符合承保条件的要求，现附如下：</w:t>
      </w:r>
      <w:r/>
    </w:p>
    <w:p>
      <w:pPr>
        <w:ind w:firstLine="482"/>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r>
      <w:r/>
    </w:p>
    <w:p>
      <w:pPr>
        <w:ind w:firstLine="482"/>
        <w:spacing w:line="360" w:lineRule="auto"/>
        <w:rPr>
          <w:rFonts w:hint="eastAsia"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、特别说明：</w:t>
      </w:r>
      <w:r/>
    </w:p>
    <w:p>
      <w:pPr>
        <w:ind w:firstLine="482"/>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无特别说明，完全响应采购文件要求。</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注：条款中如对保障条件中有任何限制或不能有效响应的部分，要在此处做特别说明及阐述解决方案，如无特别说明，则视同条款完全支持保障条件。</w:t>
      </w:r>
      <w:r/>
    </w:p>
    <w:p>
      <w:pPr>
        <w:ind w:firstLine="482"/>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jc w:val="right"/>
        <w:spacing w:line="360" w:lineRule="auto"/>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65"/>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br w:type="page" w:clear="all"/>
      </w:r>
      <w:r>
        <w:rPr>
          <w:rFonts w:hint="eastAsia" w:ascii="宋体" w:hAnsi="宋体" w:eastAsia="宋体"/>
          <w:b/>
          <w:bCs/>
          <w:color w:val="auto"/>
          <w:highlight w:val="none"/>
        </w:rPr>
        <w:t xml:space="preserve">6、商务要求偏离表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959"/>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959"/>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959"/>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65"/>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t xml:space="preserve">7、服务或技术要求偏离表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65"/>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959"/>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959"/>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959"/>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对所响应标的物</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59"/>
        <w:rPr>
          <w:color w:val="auto"/>
          <w:highlight w:val="none"/>
        </w:rPr>
      </w:pPr>
      <w:r>
        <w:rPr>
          <w:color w:val="auto"/>
          <w:highlight w:val="none"/>
        </w:rPr>
      </w:r>
      <w:r/>
    </w:p>
    <w:p>
      <w:pPr>
        <w:pStyle w:val="959"/>
        <w:ind w:left="0" w:firstLine="0"/>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8、</w:t>
      </w: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94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35"/>
        <w:gridCol w:w="742"/>
        <w:gridCol w:w="742"/>
        <w:gridCol w:w="742"/>
        <w:gridCol w:w="851"/>
        <w:gridCol w:w="1222"/>
        <w:gridCol w:w="1179"/>
        <w:gridCol w:w="1415"/>
      </w:tblGrid>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9"/>
        <w:rPr>
          <w:color w:val="auto"/>
          <w:highlight w:val="none"/>
        </w:rPr>
      </w:pPr>
      <w:r>
        <w:rPr>
          <w:color w:val="auto"/>
          <w:highlight w:val="none"/>
        </w:rPr>
      </w:r>
      <w:r/>
    </w:p>
    <w:p>
      <w:pPr>
        <w:pStyle w:val="965"/>
        <w:ind w:firstLine="48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t xml:space="preserve">注：请将相关证明材料复印件加盖公章后附在本表后面。</w:t>
      </w:r>
      <w:r/>
    </w:p>
    <w:p>
      <w:pPr>
        <w:pStyle w:val="965"/>
        <w:ind w:firstLine="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r>
      <w:r/>
    </w:p>
    <w:p>
      <w:pPr>
        <w:pStyle w:val="97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b/>
          <w:color w:val="auto"/>
          <w:szCs w:val="24"/>
          <w:highlight w:val="none"/>
        </w:rPr>
        <w:br w:type="page" w:clear="all"/>
      </w:r>
      <w:r/>
    </w:p>
    <w:p>
      <w:pPr>
        <w:pStyle w:val="973"/>
        <w:ind w:firstLine="0"/>
        <w:rPr>
          <w:rFonts w:hint="eastAsia" w:ascii="宋体" w:hAnsi="宋体"/>
          <w:b/>
          <w:color w:val="auto"/>
          <w:highlight w:val="none"/>
        </w:rPr>
        <w:outlineLvl w:val="1"/>
      </w:pPr>
      <w:r>
        <w:rPr>
          <w:rFonts w:hint="eastAsia" w:ascii="宋体" w:hAnsi="宋体"/>
          <w:b/>
          <w:color w:val="auto"/>
          <w:highlight w:val="none"/>
        </w:rPr>
        <w:t xml:space="preserve">9、类似项目一览表</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类似项目一览表</w:t>
      </w:r>
      <w:r/>
    </w:p>
    <w:p>
      <w:pPr>
        <w:jc w:val="center"/>
        <w:spacing w:line="360" w:lineRule="auto"/>
        <w:rPr>
          <w:rFonts w:hint="eastAsia" w:ascii="宋体" w:hAnsi="宋体" w:eastAsia="宋体"/>
          <w:color w:val="auto"/>
          <w:sz w:val="30"/>
          <w:highlight w:val="none"/>
        </w:rPr>
      </w:pPr>
      <w:r>
        <w:rPr>
          <w:rFonts w:hint="eastAsia" w:ascii="宋体" w:hAnsi="宋体" w:eastAsia="宋体"/>
          <w:color w:val="auto"/>
          <w:sz w:val="30"/>
          <w:highlight w:val="none"/>
        </w:rPr>
      </w:r>
      <w:r/>
    </w:p>
    <w:tbl>
      <w:tblPr>
        <w:tblStyle w:val="948"/>
        <w:tblW w:w="7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98"/>
        <w:gridCol w:w="1458"/>
        <w:gridCol w:w="1459"/>
        <w:gridCol w:w="1565"/>
        <w:gridCol w:w="958"/>
      </w:tblGrid>
      <w:tr>
        <w:trPr>
          <w:jc w:val="center"/>
          <w:trHeight w:val="1253"/>
        </w:trPr>
        <w:tc>
          <w:tcPr>
            <w:tcW w:w="833"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序号</w:t>
            </w:r>
            <w:r/>
          </w:p>
        </w:tc>
        <w:tc>
          <w:tcPr>
            <w:tcW w:w="1598"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合同名称</w:t>
            </w:r>
            <w:r/>
          </w:p>
        </w:tc>
        <w:tc>
          <w:tcPr>
            <w:tcW w:w="1458"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业主单位</w:t>
            </w:r>
            <w:r/>
          </w:p>
        </w:tc>
        <w:tc>
          <w:tcPr>
            <w:tcW w:w="1459"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合同金额</w:t>
            </w:r>
            <w:r>
              <w:rPr>
                <w:rFonts w:hint="eastAsia" w:ascii="宋体" w:hAnsi="宋体" w:eastAsia="宋体"/>
                <w:color w:val="auto"/>
                <w:sz w:val="24"/>
                <w:szCs w:val="24"/>
                <w:highlight w:val="none"/>
              </w:rPr>
              <w:t xml:space="preserve">（元）</w:t>
            </w:r>
            <w:r/>
          </w:p>
        </w:tc>
        <w:tc>
          <w:tcPr>
            <w:tcW w:w="1565"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958"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备注</w:t>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注：请将其他相关证明材料复印件加盖公章后附在本表后面。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51"/>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color w:val="auto"/>
          <w:szCs w:val="24"/>
          <w:highlight w:val="none"/>
        </w:rPr>
        <w:br w:type="page" w:clear="all"/>
      </w:r>
      <w:r>
        <w:rPr>
          <w:rFonts w:hint="eastAsia" w:ascii="宋体" w:hAnsi="宋体" w:eastAsia="宋体" w:cs="宋体"/>
          <w:b/>
          <w:bCs/>
          <w:color w:val="auto"/>
          <w:szCs w:val="24"/>
          <w:highlight w:val="none"/>
        </w:rPr>
        <w:t xml:space="preserve">10、</w:t>
      </w:r>
      <w:r>
        <w:rPr>
          <w:rFonts w:hint="eastAsia" w:ascii="宋体" w:hAnsi="宋体" w:eastAsia="宋体" w:cs="宋体"/>
          <w:b/>
          <w:color w:val="auto"/>
          <w:szCs w:val="24"/>
          <w:highlight w:val="none"/>
        </w:rPr>
        <w:t xml:space="preserve">其他优惠条件说明</w:t>
      </w:r>
      <w:r/>
    </w:p>
    <w:p>
      <w:pPr>
        <w:pStyle w:val="951"/>
        <w:ind w:firstLine="0"/>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其他优惠条件说明</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6"/>
        <w:gridCol w:w="7193"/>
      </w:tblGrid>
      <w:tr>
        <w:trPr>
          <w:jc w:val="center"/>
          <w:trHeight w:val="440"/>
        </w:trPr>
        <w:tc>
          <w:tcPr>
            <w:tcW w:w="267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承保条件</w:t>
            </w:r>
            <w:r/>
          </w:p>
        </w:tc>
        <w:tc>
          <w:tcPr>
            <w:tcW w:w="7193" w:type="dxa"/>
            <w:textDirection w:val="lrTb"/>
            <w:noWrap w:val="false"/>
          </w:tcPr>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40"/>
        </w:trPr>
        <w:tc>
          <w:tcPr>
            <w:tcW w:w="267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增值服务</w:t>
            </w:r>
            <w:r/>
          </w:p>
        </w:tc>
        <w:tc>
          <w:tcPr>
            <w:tcW w:w="7193" w:type="dxa"/>
            <w:textDirection w:val="lrTb"/>
            <w:noWrap w:val="false"/>
          </w:tcPr>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40"/>
        </w:trPr>
        <w:tc>
          <w:tcPr>
            <w:tcW w:w="2676" w:type="dxa"/>
            <w:vAlign w:val="center"/>
            <w:textDirection w:val="lrTb"/>
            <w:noWrap w:val="false"/>
          </w:tcPr>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理赔处理</w:t>
            </w:r>
            <w:r/>
          </w:p>
        </w:tc>
        <w:tc>
          <w:tcPr>
            <w:tcW w:w="7193" w:type="dxa"/>
            <w:textDirection w:val="lrTb"/>
            <w:noWrap w:val="false"/>
          </w:tcPr>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40"/>
        </w:trPr>
        <w:tc>
          <w:tcPr>
            <w:tcW w:w="2676" w:type="dxa"/>
            <w:vAlign w:val="center"/>
            <w:textDirection w:val="lrTb"/>
            <w:noWrap w:val="false"/>
          </w:tcPr>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其他额外</w:t>
            </w:r>
            <w:r/>
          </w:p>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优惠条件</w:t>
            </w:r>
            <w:r/>
          </w:p>
        </w:tc>
        <w:tc>
          <w:tcPr>
            <w:tcW w:w="7193" w:type="dxa"/>
            <w:textDirection w:val="lrTb"/>
            <w:noWrap w:val="false"/>
          </w:tcPr>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1"/>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970"/>
        <w:ind w:firstLine="480"/>
        <w:spacing w:line="360" w:lineRule="auto"/>
        <w:rPr>
          <w:rFonts w:hint="eastAsia" w:hAnsi="宋体" w:eastAsia="宋体" w:cs="宋体"/>
          <w:color w:val="auto"/>
          <w:sz w:val="24"/>
          <w:szCs w:val="21"/>
          <w:highlight w:val="none"/>
        </w:rPr>
      </w:pPr>
      <w:r>
        <w:rPr>
          <w:rFonts w:hint="eastAsia" w:hAnsi="宋体" w:eastAsia="宋体" w:cs="宋体"/>
          <w:color w:val="auto"/>
          <w:sz w:val="24"/>
          <w:szCs w:val="21"/>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注：格式为参考，响应单位可自行制作表格响应，但至少应包括上述条目，否则将直接影响得分，其他用户名单等表格响应单位自行拟制。</w:t>
      </w:r>
      <w:r/>
    </w:p>
    <w:p>
      <w:pPr>
        <w:pStyle w:val="959"/>
        <w:ind w:left="0" w:firstLine="0"/>
        <w:rPr>
          <w:rFonts w:hint="eastAsia" w:ascii="宋体" w:hAnsi="宋体" w:cs="宋体"/>
          <w:color w:val="auto"/>
          <w:highlight w:val="none"/>
        </w:rPr>
      </w:pPr>
      <w:r>
        <w:rPr>
          <w:rFonts w:hint="eastAsia" w:ascii="宋体" w:hAnsi="宋体" w:cs="宋体"/>
          <w:color w:val="auto"/>
          <w:highlight w:val="none"/>
        </w:rPr>
      </w:r>
      <w:r/>
    </w:p>
    <w:p>
      <w:pPr>
        <w:ind w:right="420" w:firstLine="6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rPr>
        <w:t xml:space="preserve">：（盖章）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法定代表人（负责人）或授权代理人：（签字或盖章）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spacing w:line="360" w:lineRule="auto"/>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spacing w:line="360" w:lineRule="auto"/>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11、资格证明文件</w:t>
      </w:r>
      <w:r/>
    </w:p>
    <w:p>
      <w:pPr>
        <w:pStyle w:val="965"/>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（1）资格文件的声明函</w:t>
      </w:r>
      <w:r/>
    </w:p>
    <w:p>
      <w:pPr>
        <w:pStyle w:val="965"/>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65"/>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资格文件的声明函</w:t>
      </w:r>
      <w:r/>
    </w:p>
    <w:p>
      <w:pPr>
        <w:pStyle w:val="965"/>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65"/>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u w:val="single"/>
        </w:rPr>
        <w:t xml:space="preserve">苏州诚和招投标咨询有限公司</w:t>
      </w:r>
      <w:r>
        <w:rPr>
          <w:rFonts w:hint="eastAsia" w:ascii="宋体" w:hAnsi="宋体" w:eastAsia="宋体"/>
          <w:color w:val="auto"/>
          <w:szCs w:val="24"/>
          <w:highlight w:val="none"/>
        </w:rPr>
        <w:t xml:space="preserve">：</w:t>
      </w:r>
      <w:r/>
    </w:p>
    <w:p>
      <w:pPr>
        <w:pStyle w:val="965"/>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本公司愿就由贵公司组织实施的编号为</w:t>
      </w:r>
      <w:r>
        <w:rPr>
          <w:rFonts w:hint="eastAsia"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965"/>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65"/>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r/>
    </w:p>
    <w:p>
      <w:pPr>
        <w:spacing w:line="360" w:lineRule="auto"/>
        <w:rPr>
          <w:rFonts w:hint="eastAsia" w:ascii="宋体" w:hAnsi="宋体" w:eastAsia="宋体"/>
          <w:b/>
          <w:color w:val="auto"/>
          <w:sz w:val="24"/>
          <w:highlight w:val="none"/>
          <w:shd w:val="clear" w:color="auto" w:fill="ffffff"/>
        </w:rPr>
        <w:outlineLvl w:val="2"/>
      </w:pPr>
      <w:r>
        <w:rPr>
          <w:rFonts w:hint="eastAsia" w:ascii="宋体" w:hAnsi="宋体" w:eastAsia="宋体"/>
          <w:b/>
          <w:color w:val="auto"/>
          <w:sz w:val="24"/>
          <w:highlight w:val="none"/>
          <w:shd w:val="clear" w:color="auto" w:fill="ffffff"/>
        </w:rPr>
        <w:t xml:space="preserve">（2）供应商基本情况表</w:t>
      </w:r>
      <w:r/>
    </w:p>
    <w:p>
      <w:pPr>
        <w:jc w:val="center"/>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供应商基本情况表</w:t>
      </w:r>
      <w:r/>
    </w:p>
    <w:p>
      <w:pPr>
        <w:ind w:firstLine="48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单位名称：</w:t>
      </w:r>
      <w:r/>
    </w:p>
    <w:tbl>
      <w:tblPr>
        <w:tblStyle w:val="94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法定代表人（负责人）</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b/>
          <w:color w:val="auto"/>
          <w:sz w:val="24"/>
          <w:szCs w:val="24"/>
          <w:highlight w:val="none"/>
        </w:rPr>
      </w:pPr>
      <w:r>
        <w:rPr>
          <w:rFonts w:hint="eastAsia" w:ascii="宋体" w:hAnsi="宋体" w:eastAsia="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b/>
          <w:color w:val="auto"/>
          <w:szCs w:val="24"/>
          <w:highlight w:val="none"/>
        </w:rPr>
        <w:t xml:space="preserve">（3）</w:t>
      </w:r>
      <w:r>
        <w:rPr>
          <w:rFonts w:hint="eastAsia" w:ascii="宋体" w:hAnsi="宋体" w:eastAsia="宋体" w:cs="宋体"/>
          <w:b/>
          <w:color w:val="auto"/>
          <w:sz w:val="24"/>
          <w:szCs w:val="20"/>
          <w:highlight w:val="none"/>
          <w:shd w:val="clear" w:color="auto" w:fill="ffffff"/>
        </w:rPr>
        <w:t xml:space="preserve">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29" w:name="OLE_LINK6"/>
      <w:r/>
      <w:bookmarkStart w:id="30" w:name="OLE_LINK5"/>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29"/>
      <w:r/>
      <w:bookmarkEnd w:id="3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8"/>
        <w:ind w:firstLine="480"/>
        <w:jc w:val="both"/>
        <w:spacing w:beforeAutospacing="0" w:afterAutospacing="0" w:line="360" w:lineRule="auto"/>
        <w:rPr>
          <w:rFonts w:hint="eastAsia" w:ascii="宋体" w:hAnsi="宋体" w:eastAsia="宋体" w:cs="方正魏碑_GBK"/>
          <w:color w:val="000000" w:themeColor="text1"/>
          <w:szCs w:val="24"/>
          <w:highlight w:val="none"/>
          <w14:textFill>
            <w14:solidFill>
              <w14:schemeClr w14:val="tx1"/>
            </w14:solidFill>
          </w14:textFill>
        </w:rPr>
      </w:pPr>
      <w:r/>
      <w:bookmarkStart w:id="31" w:name="OLE_LINK12"/>
      <w:r>
        <w:rPr>
          <w:rFonts w:hint="eastAsia" w:ascii="宋体" w:hAnsi="宋体" w:eastAsia="宋体" w:cs="方正魏碑_GBK"/>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8"/>
        <w:ind w:firstLine="480"/>
        <w:jc w:val="both"/>
        <w:spacing w:beforeAutospacing="0" w:afterAutospacing="0" w:line="360" w:lineRule="auto"/>
        <w:rPr>
          <w:rFonts w:hint="eastAsia" w:ascii="宋体" w:hAnsi="宋体" w:eastAsia="宋体" w:cs="方正魏碑_GBK"/>
          <w:color w:val="000000" w:themeColor="text1"/>
          <w:szCs w:val="24"/>
          <w:highlight w:val="none"/>
          <w14:textFill>
            <w14:solidFill>
              <w14:schemeClr w14:val="tx1"/>
            </w14:solidFill>
          </w14:textFill>
        </w:rPr>
      </w:pP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5715" b="825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13335"/>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2065" b="15240"/>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8255" b="825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8255" b="63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6350" b="508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1.</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Style w:val="962"/>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（厂名）</w:t>
      </w:r>
      <w:r>
        <w:rPr>
          <w:rStyle w:val="962"/>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 </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（规定</w:t>
      </w:r>
      <w:r>
        <w:rPr>
          <w:rStyle w:val="962"/>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比例</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962"/>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w:t>
      </w:r>
      <w:r>
        <w:rPr>
          <w:rStyle w:val="962"/>
          <w:rFonts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组件</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w:t>
      </w:r>
      <w:r>
        <w:rPr>
          <w:rStyle w:val="962"/>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Style w:val="962"/>
          <w:rFonts w:hint="eastAsia" w:ascii="宋体" w:hAnsi="宋体" w:eastAsia="宋体" w:cs="方正魏碑_GBK"/>
          <w:i w:val="0"/>
          <w:color w:val="000000" w:themeColor="text1"/>
          <w:szCs w:val="24"/>
          <w:highlight w:val="none"/>
          <w:u w:val="single"/>
          <w:shd w:val="clear" w:color="auto" w:fill="ffffff"/>
          <w14:textFill>
            <w14:solidFill>
              <w14:schemeClr w14:val="tx1"/>
            </w14:solidFill>
          </w14:textFill>
        </w:rPr>
        <w:t xml:space="preserve">（关键工序）</w:t>
      </w:r>
      <w:r>
        <w:rPr>
          <w:rStyle w:val="962"/>
          <w:rFonts w:hint="eastAsia" w:ascii="宋体" w:hAnsi="宋体" w:eastAsia="宋体" w:cs="方正魏碑_GBK"/>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pStyle w:val="958"/>
        <w:ind w:firstLine="480"/>
        <w:jc w:val="both"/>
        <w:spacing w:beforeAutospacing="0" w:afterAutospacing="0" w:line="360" w:lineRule="auto"/>
        <w:rPr>
          <w:rFonts w:hint="eastAsia"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5715" b="1524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35" b="1524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1524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6350" b="952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2.</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，生产厂为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（厂名）</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，厂址为</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（规定比例）</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（关键组件）</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在中国境内生产。</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（产品名称</w:t>
      </w:r>
      <w:r>
        <w:rPr>
          <w:rFonts w:hint="eastAsia" w:ascii="宋体" w:hAnsi="宋体" w:eastAsia="宋体" w:cs="方正魏碑_GBK"/>
          <w:color w:val="000000" w:themeColor="text1"/>
          <w:szCs w:val="24"/>
          <w:highlight w:val="none"/>
          <w:u w:val="single"/>
          <w:shd w:val="clear" w:color="auto" w:fill="ffffff"/>
          <w:lang w:val="en-US" w:eastAsia="zh-CN"/>
          <w14:textFill>
            <w14:solidFill>
              <w14:schemeClr w14:val="tx1"/>
            </w14:solidFill>
          </w14:textFill>
        </w:rPr>
        <w:t xml:space="preserve">2</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的</w:t>
      </w:r>
      <w:r>
        <w:rPr>
          <w:rFonts w:hint="eastAsia" w:ascii="宋体" w:hAnsi="宋体" w:eastAsia="宋体" w:cs="方正魏碑_GBK"/>
          <w:color w:val="000000" w:themeColor="text1"/>
          <w:szCs w:val="24"/>
          <w:highlight w:val="none"/>
          <w:u w:val="single"/>
          <w:shd w:val="clear" w:color="auto" w:fill="ffffff"/>
          <w14:textFill>
            <w14:solidFill>
              <w14:schemeClr w14:val="tx1"/>
            </w14:solidFill>
          </w14:textFill>
        </w:rPr>
        <w:t xml:space="preserve">（关键工序）</w:t>
      </w: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在中国境内完成。</w:t>
      </w:r>
      <w:r/>
    </w:p>
    <w:p>
      <w:pPr>
        <w:ind w:firstLine="480"/>
        <w:jc w:val="both"/>
        <w:spacing w:line="360" w:lineRule="auto"/>
        <w:rPr>
          <w:sz w:val="24"/>
          <w:szCs w:val="24"/>
          <w:highlight w:val="none"/>
          <w:lang w:val="zh-CN"/>
        </w:rPr>
      </w:pPr>
      <w:r>
        <w:rPr>
          <w:rFonts w:hint="eastAsia"/>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32" w:name="OLE_LINK11"/>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32"/>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958"/>
        <w:ind w:firstLine="480"/>
        <w:jc w:val="both"/>
        <w:spacing w:beforeAutospacing="0" w:afterAutospacing="0" w:line="360" w:lineRule="auto"/>
        <w:rPr>
          <w:rFonts w:ascii="宋体" w:hAnsi="宋体" w:eastAsia="宋体" w:cs="方正魏碑_GBK"/>
          <w:color w:val="000000" w:themeColor="text1"/>
          <w:szCs w:val="24"/>
          <w:highlight w:val="none"/>
          <w:shd w:val="clear" w:color="auto" w:fill="ffffff"/>
          <w14:textFill>
            <w14:solidFill>
              <w14:schemeClr w14:val="tx1"/>
            </w14:solidFill>
          </w14:textFill>
        </w:rPr>
      </w:pPr>
      <w:r>
        <w:rPr>
          <w:rFonts w:hint="eastAsia" w:ascii="宋体" w:hAnsi="宋体" w:eastAsia="宋体" w:cs="方正魏碑_GBK"/>
          <w:color w:val="000000" w:themeColor="text1"/>
          <w:szCs w:val="24"/>
          <w:highlight w:val="none"/>
          <w:shd w:val="clear" w:color="auto" w:fill="ffffff"/>
          <w14:textFill>
            <w14:solidFill>
              <w14:schemeClr w14:val="tx1"/>
            </w14:solidFill>
          </w14:textFill>
        </w:rPr>
        <w:t xml:space="preserve">6.用斜线划除的地方无需填写。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31"/>
      <w:r/>
      <w:r/>
    </w:p>
    <w:p>
      <w:pPr>
        <w:pStyle w:val="949"/>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r/>
    </w:p>
    <w:p>
      <w:pPr>
        <w:pStyle w:val="965"/>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w:t>
      </w:r>
      <w:r>
        <w:rPr>
          <w:rFonts w:hint="eastAsia" w:ascii="宋体" w:hAnsi="宋体" w:eastAsia="宋体"/>
          <w:b/>
          <w:color w:val="auto"/>
          <w:szCs w:val="24"/>
          <w:highlight w:val="none"/>
          <w:lang w:val="en-US" w:eastAsia="zh-CN"/>
        </w:rPr>
        <w:t xml:space="preserve">5</w:t>
      </w:r>
      <w:r>
        <w:rPr>
          <w:rFonts w:hint="eastAsia" w:ascii="宋体" w:hAnsi="宋体" w:eastAsia="宋体"/>
          <w:b/>
          <w:color w:val="auto"/>
          <w:szCs w:val="24"/>
          <w:highlight w:val="none"/>
        </w:rPr>
        <w:t xml:space="preserve">）中小企业声明函</w:t>
      </w:r>
      <w:r/>
    </w:p>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965"/>
        <w:ind w:firstLine="0"/>
        <w:spacing w:line="360" w:lineRule="auto"/>
        <w:rPr>
          <w:rFonts w:hint="eastAsia" w:ascii="宋体" w:hAnsi="宋体" w:eastAsia="宋体"/>
          <w:b/>
          <w:bCs/>
          <w:color w:val="auto"/>
          <w:szCs w:val="24"/>
          <w:highlight w:val="none"/>
        </w:rPr>
        <w:outlineLvl w:val="2"/>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w:t>
      </w:r>
      <w:r>
        <w:rPr>
          <w:rFonts w:hint="eastAsia" w:ascii="宋体" w:hAnsi="宋体" w:eastAsia="宋体"/>
          <w:b/>
          <w:color w:val="auto"/>
          <w:szCs w:val="24"/>
          <w:highlight w:val="none"/>
          <w:lang w:val="en-US" w:eastAsia="zh-CN"/>
        </w:rPr>
        <w:t xml:space="preserve">6）</w:t>
      </w:r>
      <w:r>
        <w:rPr>
          <w:rFonts w:hint="eastAsia" w:ascii="宋体" w:hAnsi="宋体" w:eastAsia="宋体"/>
          <w:b/>
          <w:bCs/>
          <w:color w:val="auto"/>
          <w:szCs w:val="24"/>
          <w:highlight w:val="none"/>
        </w:rPr>
        <w:t xml:space="preserve">残疾人福利性单位声明函</w:t>
      </w:r>
      <w:r/>
    </w:p>
    <w:p>
      <w:pPr>
        <w:pStyle w:val="974"/>
        <w:jc w:val="center"/>
        <w:spacing w:beforeAutospacing="0" w:afterAutospacing="0" w:line="360" w:lineRule="auto"/>
        <w:rPr>
          <w:rFonts w:hint="eastAsia"/>
          <w:b/>
          <w:bCs/>
          <w:color w:val="auto"/>
          <w:highlight w:val="none"/>
        </w:rPr>
      </w:pPr>
      <w:r>
        <w:rPr>
          <w:rFonts w:hint="eastAsia"/>
          <w:b/>
          <w:bCs/>
          <w:color w:val="auto"/>
          <w:highlight w:val="none"/>
        </w:rPr>
      </w:r>
      <w:r/>
    </w:p>
    <w:p>
      <w:pPr>
        <w:pStyle w:val="974"/>
        <w:jc w:val="center"/>
        <w:spacing w:beforeAutospacing="0" w:afterAutospacing="0" w:line="360" w:lineRule="auto"/>
        <w:rPr>
          <w:rFonts w:hint="eastAsia"/>
          <w:b/>
          <w:bCs/>
          <w:color w:val="auto"/>
          <w:highlight w:val="none"/>
        </w:rPr>
      </w:pPr>
      <w:r>
        <w:rPr>
          <w:rFonts w:hint="eastAsia"/>
          <w:b/>
          <w:bCs/>
          <w:color w:val="auto"/>
          <w:highlight w:val="none"/>
        </w:rPr>
        <w:t xml:space="preserve">残疾人福利性单位声明函</w:t>
      </w:r>
      <w:r/>
    </w:p>
    <w:p>
      <w:pPr>
        <w:pStyle w:val="974"/>
        <w:ind w:firstLine="480"/>
        <w:spacing w:beforeAutospacing="0" w:afterAutospacing="0" w:line="360" w:lineRule="auto"/>
        <w:rPr>
          <w:rFonts w:hint="eastAsia"/>
          <w:color w:val="auto"/>
          <w:highlight w:val="none"/>
        </w:rPr>
      </w:pPr>
      <w:r>
        <w:rPr>
          <w:rFonts w:hint="eastAsia"/>
          <w:color w:val="auto"/>
          <w:highlight w:val="none"/>
        </w:rPr>
      </w:r>
      <w:r/>
    </w:p>
    <w:p>
      <w:pPr>
        <w:pStyle w:val="974"/>
        <w:ind w:firstLine="480"/>
        <w:spacing w:beforeAutospacing="0" w:afterAutospacing="0" w:line="360" w:lineRule="auto"/>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4"/>
        <w:ind w:firstLine="480"/>
        <w:spacing w:beforeAutospacing="0" w:afterAutospacing="0" w:line="360" w:lineRule="auto"/>
        <w:rPr>
          <w:rFonts w:hint="eastAsia"/>
          <w:color w:val="auto"/>
          <w:highlight w:val="none"/>
        </w:rPr>
      </w:pPr>
      <w:r>
        <w:rPr>
          <w:rFonts w:hint="eastAsia"/>
          <w:color w:val="auto"/>
          <w:highlight w:val="none"/>
        </w:rPr>
        <w:t xml:space="preserve">本单位对上述声明的真实性负责。如有虚假，将依法承担相应责任。</w:t>
      </w:r>
      <w:r/>
    </w:p>
    <w:p>
      <w:pPr>
        <w:pStyle w:val="974"/>
        <w:ind w:firstLine="480"/>
        <w:spacing w:beforeAutospacing="0" w:afterAutospacing="0" w:line="360" w:lineRule="auto"/>
        <w:rPr>
          <w:rFonts w:hint="eastAsia"/>
          <w:color w:val="auto"/>
          <w:highlight w:val="none"/>
        </w:rPr>
      </w:pPr>
      <w:r>
        <w:rPr>
          <w:rFonts w:hint="eastAsia"/>
          <w:color w:val="auto"/>
          <w:highlight w:val="none"/>
        </w:rPr>
      </w:r>
      <w:r/>
    </w:p>
    <w:p>
      <w:pPr>
        <w:pStyle w:val="974"/>
        <w:ind w:firstLine="480"/>
        <w:spacing w:beforeAutospacing="0" w:afterAutospacing="0" w:line="360" w:lineRule="auto"/>
        <w:rPr>
          <w:rFonts w:hint="eastAsia"/>
          <w:color w:val="auto"/>
          <w:highlight w:val="none"/>
        </w:rPr>
      </w:pPr>
      <w:r>
        <w:rPr>
          <w:rFonts w:hint="eastAsia"/>
          <w:color w:val="auto"/>
          <w:highlight w:val="none"/>
        </w:rPr>
      </w:r>
      <w:r/>
    </w:p>
    <w:p>
      <w:pPr>
        <w:pStyle w:val="974"/>
        <w:ind w:firstLine="480"/>
        <w:spacing w:beforeAutospacing="0" w:afterAutospacing="0" w:line="360" w:lineRule="auto"/>
        <w:rPr>
          <w:rFonts w:hint="eastAsia"/>
          <w:color w:val="auto"/>
          <w:highlight w:val="none"/>
        </w:rPr>
      </w:pPr>
      <w:r>
        <w:rPr>
          <w:rFonts w:hint="eastAsia"/>
          <w:color w:val="auto"/>
          <w:highlight w:val="none"/>
        </w:rPr>
        <w:t xml:space="preserve">单位名称（盖章）：</w:t>
      </w:r>
      <w:r/>
    </w:p>
    <w:p>
      <w:pPr>
        <w:pStyle w:val="974"/>
        <w:ind w:firstLine="480"/>
        <w:spacing w:beforeAutospacing="0" w:afterAutospacing="0" w:line="360" w:lineRule="auto"/>
        <w:rPr>
          <w:rFonts w:hint="eastAsia"/>
          <w:color w:val="auto"/>
          <w:highlight w:val="none"/>
        </w:rPr>
      </w:pPr>
      <w:r>
        <w:rPr>
          <w:rFonts w:hint="eastAsia"/>
          <w:color w:val="auto"/>
          <w:highlight w:val="none"/>
        </w:rPr>
        <w:t xml:space="preserve">日期：</w:t>
      </w:r>
      <w:r>
        <w:rPr>
          <w:color w:val="auto"/>
          <w:highlight w:val="none"/>
        </w:rPr>
        <w:br w:type="textWrapping" w:clear="all"/>
      </w:r>
      <w:r/>
    </w:p>
    <w:p>
      <w:pPr>
        <w:ind w:firstLine="422"/>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33" w:name="_Hlk158140990"/>
      <w:r>
        <w:rPr>
          <w:rFonts w:hint="eastAsia" w:ascii="宋体" w:hAnsi="宋体" w:eastAsia="宋体" w:cs="宋体"/>
          <w:b/>
          <w:color w:val="auto"/>
          <w:sz w:val="21"/>
          <w:szCs w:val="21"/>
          <w:highlight w:val="none"/>
          <w:lang w:eastAsia="zh-CN"/>
        </w:rPr>
        <w:t xml:space="preserve">投标（响应）文件</w:t>
      </w:r>
      <w:r>
        <w:rPr>
          <w:rFonts w:hint="eastAsia" w:ascii="宋体" w:hAnsi="宋体" w:eastAsia="宋体" w:cs="宋体"/>
          <w:b/>
          <w:color w:val="auto"/>
          <w:sz w:val="21"/>
          <w:szCs w:val="21"/>
          <w:highlight w:val="none"/>
        </w:rPr>
        <w:t xml:space="preserve">中的电子签章视为供应商对本声明进行了签署盖章并承担相应责任</w:t>
      </w:r>
      <w:bookmarkEnd w:id="33"/>
      <w:r>
        <w:rPr>
          <w:rFonts w:hint="eastAsia" w:ascii="宋体" w:hAnsi="宋体" w:eastAsia="宋体" w:cs="宋体"/>
          <w:b/>
          <w:color w:val="auto"/>
          <w:sz w:val="21"/>
          <w:szCs w:val="21"/>
          <w:highlight w:val="none"/>
        </w:rPr>
        <w:t xml:space="preserve">。</w:t>
      </w:r>
      <w:r/>
    </w:p>
    <w:p>
      <w:pPr>
        <w:jc w:val="left"/>
        <w:keepLines w:val="0"/>
        <w:keepNext w:val="0"/>
        <w:pageBreakBefore w:val="0"/>
        <w:spacing w:line="360" w:lineRule="auto"/>
        <w:widowControl w:val="off"/>
        <w:rPr>
          <w:rFonts w:hint="eastAsia" w:ascii="宋体" w:hAnsi="宋体" w:eastAsia="宋体"/>
          <w:b/>
          <w:color w:val="auto"/>
          <w:sz w:val="24"/>
          <w:szCs w:val="24"/>
          <w:highlight w:val="none"/>
        </w:rPr>
        <w:outlineLvl w:val="2"/>
      </w:pPr>
      <w:r>
        <w:rPr>
          <w:rFonts w:hint="eastAsia" w:ascii="宋体" w:hAnsi="宋体" w:eastAsia="宋体"/>
          <w:b/>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）供应商与其他单位存在直接控股、管理关系情况表</w:t>
      </w:r>
      <w:r/>
    </w:p>
    <w:p>
      <w:pPr>
        <w:jc w:val="center"/>
        <w:spacing w:line="360" w:lineRule="auto"/>
        <w:widowControl/>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360" w:lineRule="auto"/>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4"/>
          <w:highlight w:val="none"/>
          <w:shd w:val="clear" w:color="auto" w:fill="ffffff"/>
        </w:rPr>
        <w:t xml:space="preserve">供应商与其他单位存在直接控股、管理关系情况表</w:t>
      </w:r>
      <w:r/>
    </w:p>
    <w:p>
      <w:pPr>
        <w:ind w:firstLine="420"/>
        <w:rPr>
          <w:rFonts w:hint="eastAsia" w:ascii="宋体" w:hAnsi="宋体" w:eastAsia="宋体"/>
          <w:color w:val="auto"/>
          <w:sz w:val="21"/>
          <w:highlight w:val="none"/>
          <w:shd w:val="clear" w:color="auto" w:fill="ffffff"/>
        </w:rPr>
      </w:pPr>
      <w:r>
        <w:rPr>
          <w:rFonts w:hint="eastAsia" w:ascii="宋体" w:hAnsi="宋体" w:eastAsia="宋体"/>
          <w:color w:val="auto"/>
          <w:sz w:val="21"/>
          <w:highlight w:val="none"/>
          <w:shd w:val="clear" w:color="auto" w:fill="ffffff"/>
        </w:rPr>
        <w:t xml:space="preserve">单位名称：</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是否直接控股</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直接控股关系情况说明</w:t>
            </w:r>
            <w:r>
              <w:rPr>
                <w:rFonts w:hint="eastAsia" w:ascii="宋体" w:hAnsi="宋体" w:eastAsia="宋体"/>
                <w:b/>
                <w:color w:val="auto"/>
                <w:sz w:val="18"/>
                <w:szCs w:val="18"/>
                <w:highlight w:val="none"/>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bl>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注：1、本表仅须填写与投标人存在直接股权、管理关系的企业情况。投标人应按上表要求据实填写</w:t>
      </w: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如填写“无”或不填写，均视为投标人声明不存在有关情形。</w:t>
      </w:r>
      <w:r/>
    </w:p>
    <w:p>
      <w:pPr>
        <w:pStyle w:val="975"/>
        <w:ind w:left="0" w:firstLine="482"/>
        <w:spacing w:line="360" w:lineRule="auto"/>
        <w:rPr>
          <w:rFonts w:hint="eastAsia"/>
          <w:color w:val="auto"/>
          <w:highlight w:val="none"/>
        </w:rPr>
      </w:pPr>
      <w:r>
        <w:rPr>
          <w:rFonts w:hint="eastAsia" w:ascii="宋体" w:hAnsi="宋体" w:eastAsia="宋体"/>
          <w:b/>
          <w:color w:val="auto"/>
          <w:szCs w:val="24"/>
          <w:highlight w:val="none"/>
          <w:shd w:val="clear" w:color="auto" w:fill="ffffff"/>
        </w:rPr>
        <w:t xml:space="preserve">2、其中“直接控股”是指投标人与大型企业之间存在直接投资并控股（非普通持股）的关系。</w:t>
      </w:r>
      <w:r/>
    </w:p>
    <w:p>
      <w:pPr>
        <w:pStyle w:val="974"/>
        <w:ind w:firstLine="480"/>
        <w:spacing w:beforeAutospacing="0" w:afterAutospacing="0" w:line="360" w:lineRule="auto"/>
        <w:rPr>
          <w:rFonts w:hint="eastAsia"/>
          <w:color w:val="auto"/>
          <w:highlight w:val="none"/>
        </w:rPr>
      </w:pPr>
      <w:r>
        <w:rPr>
          <w:rFonts w:hint="eastAsia"/>
          <w:color w:val="auto"/>
          <w:highlight w:val="none"/>
        </w:rPr>
      </w:r>
      <w:r/>
    </w:p>
    <w:p>
      <w:pPr>
        <w:pStyle w:val="974"/>
        <w:ind w:firstLine="480"/>
        <w:spacing w:beforeAutospacing="0" w:afterAutospacing="0" w:line="360" w:lineRule="auto"/>
        <w:rPr>
          <w:rFonts w:hint="eastAsia"/>
          <w:color w:val="auto"/>
          <w:highlight w:val="none"/>
        </w:rPr>
      </w:pPr>
      <w:r>
        <w:rPr>
          <w:rFonts w:hint="eastAsia"/>
          <w:color w:val="auto"/>
          <w:highlight w:val="none"/>
        </w:rPr>
      </w:r>
      <w:r/>
    </w:p>
    <w:p>
      <w:pPr>
        <w:pStyle w:val="974"/>
        <w:ind w:firstLine="480"/>
        <w:spacing w:beforeAutospacing="0" w:afterAutospacing="0" w:line="360" w:lineRule="auto"/>
        <w:rPr>
          <w:rFonts w:hint="eastAsia"/>
          <w:color w:val="auto"/>
          <w:highlight w:val="none"/>
        </w:rPr>
      </w:pPr>
      <w:r>
        <w:rPr>
          <w:rFonts w:hint="eastAsia"/>
          <w:color w:val="auto"/>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b/>
          <w:color w:val="auto"/>
          <w:sz w:val="24"/>
          <w:highlight w:val="none"/>
        </w:rPr>
        <w:t xml:space="preserve">11、</w:t>
      </w:r>
      <w:r>
        <w:rPr>
          <w:rFonts w:hint="eastAsia" w:ascii="宋体" w:hAnsi="宋体" w:eastAsia="宋体" w:cs="宋体"/>
          <w:b/>
          <w:bCs/>
          <w:color w:val="auto"/>
          <w:sz w:val="24"/>
          <w:szCs w:val="24"/>
          <w:highlight w:val="none"/>
        </w:rPr>
        <w:t xml:space="preserve">最终报价表</w:t>
      </w:r>
      <w:r/>
    </w:p>
    <w:p>
      <w:pPr>
        <w:pStyle w:val="959"/>
        <w:ind w:left="0"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最终报价表</w:t>
      </w:r>
      <w:r/>
    </w:p>
    <w:tbl>
      <w:tblPr>
        <w:tblStyle w:val="960"/>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22"/>
        <w:gridCol w:w="4131"/>
      </w:tblGrid>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分包号：</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报价批次：</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分包预算：</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大写金额：</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1986"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小写金额：</w:t>
            </w:r>
            <w:r/>
          </w:p>
        </w:tc>
        <w:tc>
          <w:tcPr>
            <w:tcW w:w="3013" w:type="pct"/>
            <w:vAlign w:val="center"/>
            <w:textDirection w:val="lrTb"/>
            <w:noWrap w:val="false"/>
          </w:tcPr>
          <w:p>
            <w:pPr>
              <w:pStyle w:val="959"/>
              <w:ind w:left="0" w:firstLine="0"/>
              <w:jc w:val="cente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959"/>
        <w:ind w:left="84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right"/>
        <w:rPr>
          <w:rFonts w:hint="eastAsia" w:ascii="宋体" w:hAnsi="宋体" w:eastAsia="宋体" w:cs="宋体"/>
          <w:bCs/>
          <w:color w:val="auto"/>
          <w:sz w:val="24"/>
          <w:szCs w:val="24"/>
          <w:highlight w:val="none"/>
        </w:rPr>
      </w:pPr>
      <w:r/>
      <w:bookmarkStart w:id="34" w:name="_Toc13642115"/>
      <w:r/>
      <w:bookmarkStart w:id="35" w:name="_Toc8248"/>
      <w:r>
        <w:rPr>
          <w:rFonts w:hint="eastAsia" w:ascii="宋体" w:hAnsi="宋体" w:eastAsia="宋体" w:cs="宋体"/>
          <w:bCs/>
          <w:color w:val="auto"/>
          <w:sz w:val="24"/>
          <w:szCs w:val="24"/>
          <w:highlight w:val="none"/>
        </w:rPr>
        <w:t xml:space="preserve">供应商法定代表人（负责人）或授权代表签章：</w:t>
      </w:r>
      <w:r/>
    </w:p>
    <w:p>
      <w:pPr>
        <w:ind w:firstLine="480"/>
        <w:jc w:val="left"/>
        <w:keepLines/>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keepNex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注：如若成交，成交供应商提供的合同价明细按最终总报价同比例下（上）浮，但合同价明细合计必须与最终总报价一致。例：最终总报价相比第一次报价下浮10%，则合同明细单价=第一次报价中单价×90%。</w:t>
      </w:r>
      <w:r/>
    </w:p>
    <w:p>
      <w:pPr>
        <w:rPr>
          <w:rFonts w:hint="eastAsia" w:ascii="宋体" w:hAnsi="宋体" w:eastAsia="宋体"/>
          <w:color w:val="auto"/>
          <w:sz w:val="52"/>
          <w:highlight w:val="none"/>
        </w:rPr>
      </w:pPr>
      <w:r>
        <w:rPr>
          <w:rFonts w:hint="eastAsia" w:ascii="宋体" w:hAnsi="宋体" w:eastAsia="宋体"/>
          <w:color w:val="auto"/>
          <w:sz w:val="52"/>
          <w:highlight w:val="none"/>
        </w:rPr>
      </w:r>
      <w:r/>
    </w:p>
    <w:p>
      <w:pPr>
        <w:rPr>
          <w:color w:val="auto"/>
          <w:highlight w:val="none"/>
        </w:rPr>
      </w:pPr>
      <w:r>
        <w:rPr>
          <w:rFonts w:hint="eastAsia"/>
          <w:color w:val="auto"/>
          <w:highlight w:val="none"/>
        </w:rPr>
        <w:br w:type="page" w:clear="all"/>
      </w:r>
      <w:r/>
    </w:p>
    <w:p>
      <w:pPr>
        <w:pStyle w:val="954"/>
        <w:rPr>
          <w:rFonts w:hint="eastAsia"/>
          <w:color w:val="auto"/>
          <w:highlight w:val="none"/>
        </w:rPr>
      </w:pPr>
      <w:r>
        <w:rPr>
          <w:rFonts w:hint="eastAsia"/>
          <w:color w:val="auto"/>
          <w:highlight w:val="none"/>
        </w:rPr>
      </w:r>
      <w:r/>
    </w:p>
    <w:p>
      <w:pPr>
        <w:jc w:val="center"/>
        <w:keepLines/>
        <w:keepNext/>
        <w:spacing w:line="579" w:lineRule="auto"/>
        <w:rPr>
          <w:rFonts w:hint="eastAsia" w:ascii="宋体" w:hAnsi="宋体" w:eastAsia="宋体"/>
          <w:color w:val="auto"/>
          <w:sz w:val="52"/>
          <w:highlight w:val="none"/>
        </w:rPr>
      </w:pPr>
      <w:r>
        <w:rPr>
          <w:rFonts w:hint="eastAsia" w:ascii="宋体" w:hAnsi="宋体" w:eastAsia="宋体"/>
          <w:color w:val="auto"/>
          <w:sz w:val="52"/>
          <w:highlight w:val="none"/>
        </w:rPr>
      </w:r>
      <w:r/>
    </w:p>
    <w:p>
      <w:pPr>
        <w:jc w:val="center"/>
        <w:keepLines/>
        <w:keepNext/>
        <w:spacing w:line="579" w:lineRule="auto"/>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945"/>
        <w:jc w:val="center"/>
        <w:spacing w:before="0" w:after="0" w:line="360" w:lineRule="auto"/>
        <w:rPr>
          <w:rFonts w:hint="eastAsia" w:ascii="宋体" w:hAnsi="宋体" w:eastAsia="宋体"/>
          <w:color w:val="auto"/>
          <w:sz w:val="52"/>
          <w:highlight w:val="none"/>
        </w:rPr>
      </w:pPr>
      <w:r/>
      <w:bookmarkStart w:id="36" w:name="_Toc19542"/>
      <w:r>
        <w:rPr>
          <w:rFonts w:hint="eastAsia" w:ascii="宋体" w:hAnsi="宋体" w:eastAsia="宋体"/>
          <w:color w:val="auto"/>
          <w:sz w:val="52"/>
          <w:highlight w:val="none"/>
        </w:rPr>
        <w:t xml:space="preserve">第四章 </w:t>
      </w:r>
      <w:bookmarkEnd w:id="34"/>
      <w:r>
        <w:rPr>
          <w:rFonts w:hint="eastAsia" w:ascii="宋体" w:hAnsi="宋体" w:eastAsia="宋体"/>
          <w:color w:val="auto"/>
          <w:sz w:val="52"/>
          <w:highlight w:val="none"/>
        </w:rPr>
        <w:t xml:space="preserve">采购内容</w:t>
      </w:r>
      <w:bookmarkEnd w:id="35"/>
      <w:r/>
      <w:bookmarkEnd w:id="36"/>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苏州诚和招投标咨询有限公司受苏州市吴中区甪直镇人民政府的委托，就其所需的</w:t>
      </w:r>
      <w:r>
        <w:rPr>
          <w:rFonts w:hint="eastAsia" w:ascii="宋体" w:hAnsi="宋体" w:eastAsia="宋体"/>
          <w:color w:val="auto"/>
          <w:sz w:val="24"/>
          <w:szCs w:val="24"/>
          <w:highlight w:val="none"/>
        </w:rPr>
        <w:t xml:space="preserve">甪直镇居民意外综合保险</w:t>
      </w:r>
      <w:r>
        <w:rPr>
          <w:rFonts w:hint="eastAsia" w:ascii="宋体" w:hAnsi="宋体" w:eastAsia="宋体" w:cs="宋体"/>
          <w:color w:val="auto"/>
          <w:sz w:val="24"/>
          <w:szCs w:val="24"/>
          <w:highlight w:val="none"/>
        </w:rPr>
        <w:t xml:space="preserve">组织竞争性磋商采购，</w:t>
      </w:r>
      <w:bookmarkStart w:id="37" w:name="_Hlk193378953"/>
      <w:r>
        <w:rPr>
          <w:rFonts w:hint="eastAsia" w:ascii="宋体" w:hAnsi="宋体" w:eastAsia="宋体" w:cs="宋体"/>
          <w:color w:val="auto"/>
          <w:sz w:val="24"/>
          <w:szCs w:val="24"/>
          <w:highlight w:val="none"/>
        </w:rPr>
        <w:t xml:space="preserve">欢迎符合条件的供应商</w:t>
      </w:r>
      <w:bookmarkEnd w:id="37"/>
      <w:r>
        <w:rPr>
          <w:rFonts w:hint="eastAsia" w:ascii="宋体" w:hAnsi="宋体" w:eastAsia="宋体" w:cs="宋体"/>
          <w:color w:val="auto"/>
          <w:sz w:val="24"/>
          <w:szCs w:val="24"/>
          <w:highlight w:val="none"/>
        </w:rPr>
        <w:t xml:space="preserve">前来参加磋商。</w:t>
      </w:r>
      <w:r/>
    </w:p>
    <w:p>
      <w:pPr>
        <w:pStyle w:val="976"/>
        <w:ind w:firstLine="482"/>
        <w:jc w:val="both"/>
        <w:spacing w:line="360" w:lineRule="auto"/>
        <w:rPr>
          <w:rFonts w:hint="eastAsia" w:ascii="宋体" w:hAnsi="宋体" w:eastAsia="宋体" w:cs="宋体"/>
          <w:b/>
          <w:bCs/>
          <w:color w:val="auto"/>
          <w:szCs w:val="24"/>
          <w:highlight w:val="none"/>
          <w:lang w:eastAsia="zh-CN"/>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b/>
          <w:bCs/>
          <w:color w:val="auto"/>
          <w:szCs w:val="24"/>
          <w:highlight w:val="none"/>
          <w:lang w:eastAsia="zh-CN"/>
        </w:rPr>
        <w:t xml:space="preserve">JSZC-320506-SZCH-C2025-0121</w:t>
      </w:r>
      <w:r/>
    </w:p>
    <w:p>
      <w:pPr>
        <w:pStyle w:val="976"/>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二、采购内容及要求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1、保障人群：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甪直镇居民，目前参考人数140000人（以每年的实际人数为准）。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2、保险方案：</w:t>
      </w:r>
      <w:r/>
    </w:p>
    <w:tbl>
      <w:tblPr>
        <w:tblStyle w:val="9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1741"/>
        <w:gridCol w:w="1664"/>
        <w:gridCol w:w="3474"/>
        <w:gridCol w:w="1583"/>
      </w:tblGrid>
      <w:tr>
        <w:trPr>
          <w:jc w:val="center"/>
          <w:trHeight w:val="442"/>
        </w:trPr>
        <w:tc>
          <w:tcPr>
            <w:tcW w:w="13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保障内容</w:t>
            </w:r>
            <w:r/>
          </w:p>
        </w:tc>
        <w:tc>
          <w:tcPr>
            <w:gridSpan w:val="2"/>
            <w:tcW w:w="340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保险金额</w:t>
            </w:r>
            <w:r/>
          </w:p>
        </w:tc>
        <w:tc>
          <w:tcPr>
            <w:tcW w:w="347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约定事项</w:t>
            </w:r>
            <w:r/>
          </w:p>
        </w:tc>
        <w:tc>
          <w:tcPr>
            <w:tcW w:w="158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保险费</w:t>
            </w:r>
            <w:r/>
          </w:p>
        </w:tc>
      </w:tr>
      <w:tr>
        <w:trPr>
          <w:jc w:val="center"/>
          <w:trHeight w:val="746"/>
        </w:trPr>
        <w:tc>
          <w:tcPr>
            <w:tcBorders>
              <w:bottom w:val="single" w:color="000000" w:sz="4" w:space="0"/>
            </w:tcBorders>
            <w:tcW w:w="1396"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意外身故、意外残疾及意外烧伤保障</w:t>
            </w:r>
            <w:r/>
          </w:p>
        </w:tc>
        <w:tc>
          <w:tcPr>
            <w:tcBorders>
              <w:bottom w:val="single" w:color="auto" w:sz="4" w:space="0"/>
              <w:right w:val="single" w:color="auto" w:sz="4" w:space="0"/>
            </w:tcBorders>
            <w:tcW w:w="17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0-17周岁</w:t>
            </w:r>
            <w:r/>
          </w:p>
        </w:tc>
        <w:tc>
          <w:tcPr>
            <w:tcBorders>
              <w:left w:val="single" w:color="auto" w:sz="4" w:space="0"/>
              <w:bottom w:val="single" w:color="auto" w:sz="4" w:space="0"/>
            </w:tcBorders>
            <w:tcW w:w="16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20000元/人</w:t>
            </w:r>
            <w:r/>
          </w:p>
        </w:tc>
        <w:tc>
          <w:tcPr>
            <w:tcW w:w="3474"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140899人为目前参考人数；意外身故按约定金额一次性赔付；意外残疾及意外烧伤按残疾比例给付。</w:t>
            </w:r>
            <w:r/>
          </w:p>
        </w:tc>
        <w:tc>
          <w:tcPr>
            <w:tcW w:w="1583"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4元/人</w:t>
            </w:r>
            <w:r/>
          </w:p>
        </w:tc>
      </w:tr>
      <w:tr>
        <w:trPr>
          <w:jc w:val="center"/>
          <w:trHeight w:val="815"/>
        </w:trPr>
        <w:tc>
          <w:tcPr>
            <w:tcBorders>
              <w:bottom w:val="single" w:color="000000" w:sz="4" w:space="0"/>
            </w:tcBorders>
            <w:tcW w:w="1396"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right w:val="single" w:color="auto" w:sz="4" w:space="0"/>
            </w:tcBorders>
            <w:tcW w:w="17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18至60周岁</w:t>
            </w:r>
            <w:r/>
          </w:p>
        </w:tc>
        <w:tc>
          <w:tcPr>
            <w:tcBorders>
              <w:top w:val="single" w:color="auto" w:sz="4" w:space="0"/>
              <w:left w:val="single" w:color="auto" w:sz="4" w:space="0"/>
              <w:bottom w:val="single" w:color="auto" w:sz="4" w:space="0"/>
            </w:tcBorders>
            <w:tcW w:w="16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40000元/人</w:t>
            </w:r>
            <w:r/>
          </w:p>
        </w:tc>
        <w:tc>
          <w:tcPr>
            <w:tcW w:w="347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6"/>
        </w:trPr>
        <w:tc>
          <w:tcPr>
            <w:tcBorders>
              <w:bottom w:val="single" w:color="000000" w:sz="4" w:space="0"/>
            </w:tcBorders>
            <w:tcW w:w="1396"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000000" w:sz="4" w:space="0"/>
              <w:right w:val="single" w:color="auto" w:sz="4" w:space="0"/>
            </w:tcBorders>
            <w:tcW w:w="174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61周岁以上</w:t>
            </w:r>
            <w:r/>
          </w:p>
        </w:tc>
        <w:tc>
          <w:tcPr>
            <w:tcBorders>
              <w:top w:val="single" w:color="auto" w:sz="4" w:space="0"/>
              <w:left w:val="single" w:color="auto" w:sz="4" w:space="0"/>
              <w:bottom w:val="single" w:color="000000" w:sz="4" w:space="0"/>
            </w:tcBorders>
            <w:tcW w:w="166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10000元/人</w:t>
            </w:r>
            <w:r/>
          </w:p>
        </w:tc>
        <w:tc>
          <w:tcPr>
            <w:tcBorders>
              <w:bottom w:val="single" w:color="000000" w:sz="4" w:space="0"/>
            </w:tcBorders>
            <w:tcW w:w="3474"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000000" w:sz="4" w:space="0"/>
            </w:tcBorders>
            <w:tcW w:w="15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3、保障特别约定：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（1）人身保险伤残评定标准详见第六章附件。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4、承保服务要求：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（1）人员配备：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对本采购项目须设立专项小组。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其中项目经理1名，负责按照本次保险的有关要求为采购单位提供承保、理赔及其他各类保险服务，包括必要的组织与协调工作。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客户服务专员：至少配备2名，其中有1名应为项目专职承保人员，1名应为项目专职理赔人员，协助项目经理提供保险服务。响应文件中提供专项小组名单。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（2）承保服务：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①指定专门的客服人员，接受各方咨询，解释相关保险内容。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②定期回访，听取相关意见和建议，不断提高服务水平，为居民分忧。</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③每季度按时向相关部门汇报上季度的理赔情况。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（3）理赔服务：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①设立专人专门窗口负责受理赔款案件，实行一站式服务，确保理赔、财务、信息技术等环节的高效畅通。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②接到报案后应详细的告知被保险人注意事项，承保范围，保障内容及理赔时需要准备的材料等，不得欺骗、误导被保险人。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③配合被保险人了解、熟悉理赔流程，指定专人上门收取索赔单证，并在约定的时间内上门收取，不得以任何理由拒绝上门服务。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④保险公司上门收取理赔资料时，若认为有关证明或材料不完整，立刻以书面或口头方式通知被保险人需补充提供的有关证明或材料。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⑤在收到理赔材料后，简化理赔手续，应在规定时间内告知被保险人赔偿金额，除外金额或不予赔偿的理由，超过规定时间的，视为同意赔偿。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⑥接到被保险人报案后，对于属于保险责任的事故，资料齐全后30个工作日内确定赔偿金额。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⑦对于不属于保险责任的，同意在接到被保险人赔偿请求后15个工作日内向其发出《拒赔通知书》。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5、其他保险服务要求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（1）定期沟通制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定期召开保险工作例会，通报保险事故情况、理赔进展情况、商定各项服务计划和共同解决需双方协调的事宜。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（2）培训、考察机制</w:t>
      </w:r>
      <w:r/>
    </w:p>
    <w:p>
      <w:pPr>
        <w:ind w:firstLine="482"/>
        <w:spacing w:line="360" w:lineRule="auto"/>
        <w:widowControl/>
        <w:tabs>
          <w:tab w:val="left" w:pos="753" w:leader="none"/>
        </w:tabs>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定期不定期提供专项培训，培训内容主要包括保险的基础知识、保险合同责任及条款解释、理赔讲解等方面的内容。</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1、响应单位需承诺文件中提出的全部要求，如果其中某些条款不响应时，应在文件中逐条列出，未列出的视同响应。</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2、响应单位应对所投项目的全部内容进行报价，只投其中部分内容者或出现选择性报价的，其响应文件将被拒绝。</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3、响应单位的报价包括服务的内容、管理、保险、人工、服务费、合理利润、税金、政策性文件规定及合同包含的所有风险、责任等各项应有费用。</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4、中标（成交）单位将根据采购文件、投标（响应）文件的相关约定，承担合同责任，履行合同义务。</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5、服务期限：1年，具体保险期间以保单所载为准。</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6、服务地点：采购单位指定地点。</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7、付款方式：见合同主要条款。</w:t>
      </w:r>
      <w:r/>
    </w:p>
    <w:p>
      <w:pPr>
        <w:ind w:firstLine="480"/>
        <w:jc w:val="left"/>
        <w:spacing w:line="360" w:lineRule="auto"/>
        <w:widowControl/>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8、凡涉及采购文件的补充说明和修改，均以苏州政府采购网发布的内容为准。</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before="0" w:after="0" w:line="360" w:lineRule="auto"/>
        <w:rPr>
          <w:rFonts w:hint="eastAsia" w:ascii="宋体" w:hAnsi="宋体" w:eastAsia="宋体"/>
          <w:color w:val="auto"/>
          <w:sz w:val="52"/>
          <w:highlight w:val="none"/>
        </w:rPr>
      </w:pPr>
      <w:r/>
      <w:bookmarkStart w:id="38" w:name="_Toc7087"/>
      <w:r>
        <w:rPr>
          <w:rFonts w:hint="eastAsia" w:ascii="宋体" w:hAnsi="宋体" w:eastAsia="宋体"/>
          <w:color w:val="auto"/>
          <w:sz w:val="52"/>
          <w:highlight w:val="none"/>
        </w:rPr>
        <w:t xml:space="preserve">第五章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合同主要条款</w:t>
      </w:r>
      <w:bookmarkEnd w:id="38"/>
      <w:r/>
      <w:r/>
    </w:p>
    <w:p>
      <w:pPr>
        <w:widowControl/>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 </w:t>
      </w:r>
      <w:r/>
    </w:p>
    <w:p>
      <w:pPr>
        <w:pStyle w:val="977"/>
        <w:ind w:firstLine="0"/>
        <w:jc w:val="center"/>
        <w:spacing w:before="120"/>
        <w:rPr>
          <w:rFonts w:hint="eastAsia" w:ascii="宋体" w:hAnsi="宋体"/>
          <w:b/>
          <w:color w:val="auto"/>
          <w:highlight w:val="none"/>
        </w:rPr>
      </w:pPr>
      <w:r>
        <w:rPr>
          <w:rFonts w:ascii="宋体" w:hAnsi="宋体"/>
          <w:b/>
          <w:color w:val="auto"/>
          <w:sz w:val="30"/>
          <w:szCs w:val="30"/>
          <w:highlight w:val="none"/>
        </w:rPr>
        <w:br w:type="page" w:clear="all"/>
      </w:r>
      <w:r>
        <w:rPr>
          <w:rFonts w:hint="eastAsia" w:ascii="宋体" w:hAnsi="宋体"/>
          <w:b/>
          <w:color w:val="auto"/>
          <w:sz w:val="32"/>
          <w:szCs w:val="32"/>
          <w:highlight w:val="none"/>
        </w:rPr>
        <w:t xml:space="preserve">政府采购合同书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w:t>
      </w:r>
      <w:r>
        <w:rPr>
          <w:rFonts w:hint="eastAsia" w:ascii="宋体" w:hAnsi="宋体" w:eastAsia="宋体" w:cs="宋体"/>
          <w:color w:val="auto"/>
          <w:sz w:val="24"/>
          <w:szCs w:val="24"/>
          <w:highlight w:val="none"/>
          <w:u w:val="single"/>
        </w:rPr>
        <w:t xml:space="preserve"> 甪直镇居民意外综合保险 </w:t>
      </w:r>
      <w:r>
        <w:rPr>
          <w:rFonts w:hint="eastAsia" w:ascii="宋体" w:hAnsi="宋体" w:eastAsia="宋体" w:cs="宋体"/>
          <w:color w:val="auto"/>
          <w:sz w:val="24"/>
          <w:szCs w:val="24"/>
          <w:highlight w:val="none"/>
        </w:rPr>
        <w:t xml:space="preserve">等工作和合同中规定乙方应承担的其它义务。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合同价款是指根据中标（成交）单位的投标（响应）文件和合同规定，乙方在正确地履行合同义务后甲方应支付给乙方的价款。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二、合同项目及期限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1.1乙方负责</w:t>
      </w:r>
      <w:r>
        <w:rPr>
          <w:rFonts w:hint="eastAsia" w:ascii="宋体" w:hAnsi="宋体" w:eastAsia="宋体" w:cs="宋体"/>
          <w:color w:val="auto"/>
          <w:sz w:val="24"/>
          <w:szCs w:val="24"/>
          <w:highlight w:val="none"/>
          <w:u w:val="single"/>
        </w:rPr>
        <w:t xml:space="preserve"> 甪直镇居民意外综合保险 </w:t>
      </w:r>
      <w:r>
        <w:rPr>
          <w:rFonts w:hint="eastAsia" w:ascii="宋体" w:hAnsi="宋体" w:eastAsia="宋体" w:cs="宋体"/>
          <w:color w:val="auto"/>
          <w:sz w:val="24"/>
          <w:szCs w:val="24"/>
          <w:highlight w:val="none"/>
        </w:rPr>
        <w:t xml:space="preserve">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1.2项目期限：1年，具体保险期间以保单所载为准。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1.3项目地点：根据甲方指定地点。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三、合同总价款：</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伍拾陆万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u w:val="single"/>
        </w:rPr>
        <w:t xml:space="preserve"> 560,000.00 </w:t>
      </w:r>
      <w:r>
        <w:rPr>
          <w:rFonts w:hint="eastAsia" w:ascii="宋体" w:hAnsi="宋体" w:eastAsia="宋体" w:cs="宋体"/>
          <w:color w:val="auto"/>
          <w:sz w:val="24"/>
          <w:szCs w:val="24"/>
          <w:highlight w:val="none"/>
        </w:rPr>
        <w:t xml:space="preserve">。合同总价款</w:t>
      </w:r>
      <w:r>
        <w:rPr>
          <w:rFonts w:hint="eastAsia" w:ascii="宋体" w:hAnsi="宋体" w:eastAsia="宋体"/>
          <w:color w:val="auto"/>
          <w:sz w:val="24"/>
          <w:szCs w:val="24"/>
          <w:highlight w:val="none"/>
        </w:rPr>
        <w:t xml:space="preserve">包括服务的内容、管理、保险、人工、服务费、合理利润、税金、政策性文</w:t>
      </w:r>
      <w:r>
        <w:rPr>
          <w:rFonts w:hint="eastAsia" w:ascii="宋体" w:hAnsi="宋体" w:eastAsia="宋体" w:cs="宋体"/>
          <w:color w:val="auto"/>
          <w:sz w:val="24"/>
          <w:szCs w:val="24"/>
          <w:highlight w:val="none"/>
        </w:rPr>
        <w:t xml:space="preserve">件规定及合同包含的所有风险、责任等各项应有费用。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明细表</w:t>
      </w:r>
      <w:r>
        <w:rPr>
          <w:rFonts w:hint="eastAsia" w:ascii="宋体" w:hAnsi="宋体" w:cs="宋体"/>
          <w:color w:val="auto"/>
          <w:sz w:val="24"/>
          <w:szCs w:val="24"/>
          <w:highlight w:val="none"/>
        </w:rPr>
        <w:t xml:space="preserve">：</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90"/>
        <w:gridCol w:w="1587"/>
        <w:gridCol w:w="1840"/>
        <w:gridCol w:w="1453"/>
        <w:gridCol w:w="1013"/>
        <w:gridCol w:w="1461"/>
      </w:tblGrid>
      <w:tr>
        <w:trPr>
          <w:jc w:val="center"/>
          <w:trHeight w:val="823"/>
        </w:trPr>
        <w:tc>
          <w:tcPr>
            <w:tcW w:w="814"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690"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保险险种</w:t>
            </w:r>
            <w:r/>
          </w:p>
        </w:tc>
        <w:tc>
          <w:tcPr>
            <w:tcW w:w="15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每人保费金额</w:t>
            </w:r>
            <w:r/>
          </w:p>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（元/人）</w:t>
            </w:r>
            <w:r/>
          </w:p>
        </w:tc>
        <w:tc>
          <w:tcPr>
            <w:tcW w:w="1840"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预计总数量</w:t>
            </w:r>
            <w:r/>
          </w:p>
        </w:tc>
        <w:tc>
          <w:tcPr>
            <w:tcW w:w="1453"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总保费金额</w:t>
            </w:r>
            <w:r/>
          </w:p>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（元）</w:t>
            </w:r>
            <w:r/>
          </w:p>
        </w:tc>
        <w:tc>
          <w:tcPr>
            <w:tcW w:w="1013"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保险期限</w:t>
            </w:r>
            <w:r/>
          </w:p>
        </w:tc>
        <w:tc>
          <w:tcPr>
            <w:tcW w:w="1461"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备注</w:t>
            </w:r>
            <w:r/>
          </w:p>
        </w:tc>
      </w:tr>
      <w:tr>
        <w:trPr>
          <w:jc w:val="center"/>
          <w:trHeight w:val="692"/>
        </w:trPr>
        <w:tc>
          <w:tcPr>
            <w:tcW w:w="814"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6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甪直镇居民意外综合保险</w:t>
            </w:r>
            <w:r/>
          </w:p>
        </w:tc>
        <w:tc>
          <w:tcPr>
            <w:tcW w:w="15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4元/人</w:t>
            </w:r>
            <w:r/>
          </w:p>
        </w:tc>
        <w:tc>
          <w:tcPr>
            <w:tcW w:w="1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按照140000人口预估</w:t>
            </w:r>
            <w:r/>
          </w:p>
        </w:tc>
        <w:tc>
          <w:tcPr>
            <w:tcW w:w="14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560,000.00</w:t>
            </w:r>
            <w:r/>
          </w:p>
        </w:tc>
        <w:tc>
          <w:tcPr>
            <w:tcW w:w="1013"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1年</w:t>
            </w:r>
            <w:r/>
          </w:p>
        </w:tc>
        <w:tc>
          <w:tcPr>
            <w:tcW w:w="1461" w:type="dxa"/>
            <w:vAlign w:val="center"/>
            <w:textDirection w:val="lrTb"/>
            <w:noWrap w:val="false"/>
          </w:tcPr>
          <w:p>
            <w:pPr>
              <w:pStyle w:val="982"/>
              <w:jc w:val="center"/>
              <w:rPr>
                <w:rFonts w:hint="eastAsia" w:hAnsi="宋体" w:eastAsia="宋体" w:cs="宋体"/>
                <w:color w:val="auto"/>
                <w:sz w:val="24"/>
                <w:szCs w:val="24"/>
                <w:highlight w:val="none"/>
              </w:rPr>
            </w:pPr>
            <w:r>
              <w:rPr>
                <w:rFonts w:hint="eastAsia" w:hAnsi="宋体" w:eastAsia="宋体" w:cs="宋体"/>
                <w:b/>
                <w:bCs/>
                <w:color w:val="auto"/>
                <w:sz w:val="24"/>
                <w:szCs w:val="24"/>
                <w:highlight w:val="none"/>
              </w:rPr>
              <w:t xml:space="preserve">最终按实际投保人数结算。</w:t>
            </w:r>
            <w:r/>
          </w:p>
        </w:tc>
      </w:tr>
      <w:tr>
        <w:trPr>
          <w:jc w:val="center"/>
          <w:trHeight w:val="692"/>
        </w:trPr>
        <w:tc>
          <w:tcPr>
            <w:gridSpan w:val="7"/>
            <w:tcW w:w="9858" w:type="dxa"/>
            <w:vAlign w:val="center"/>
            <w:textDirection w:val="lrTb"/>
            <w:noWrap w:val="false"/>
          </w:tcPr>
          <w:p>
            <w:pPr>
              <w:pStyle w:val="982"/>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总报价：人民币伍拾陆万元整（¥560,000.00元）</w:t>
            </w:r>
            <w:r/>
          </w:p>
        </w:tc>
      </w:tr>
    </w:tbl>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参保人员每年保费以单人保费为基准，采购单位按实际投保人数于保单生效日起30天内一次性</w:t>
      </w:r>
      <w:r>
        <w:rPr>
          <w:rFonts w:hint="eastAsia" w:ascii="宋体" w:hAnsi="宋体" w:eastAsia="宋体" w:cs="宋体"/>
          <w:color w:val="auto"/>
          <w:sz w:val="24"/>
          <w:highlight w:val="none"/>
        </w:rPr>
        <w:t xml:space="preserve">划转给成交单位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3.账户信息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959"/>
        <w:ind w:left="40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五、甲、乙双方的责任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1.1依本合同约定按期支付合同款项；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1.2依本合同约定及时组织验收；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2.3乙方必须自己完成合同内容，不得自行分包，否则，甲方有权按乙方不能完成合同处理。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2.5乙方负有对自己员工的安全责任，甲方不承担任何相关责任。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七、不可抗力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八、争端的解决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九、违约终止合同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十一、政府采购法对政府采购合同变更终止的规定：</w:t>
      </w:r>
      <w:r>
        <w:rPr>
          <w:rFonts w:hint="eastAsia" w:ascii="宋体" w:hAnsi="宋体" w:eastAsia="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十二、合同转让和分包：</w:t>
      </w:r>
      <w:r>
        <w:rPr>
          <w:rFonts w:hint="eastAsia" w:ascii="宋体" w:hAnsi="宋体" w:eastAsia="宋体" w:cs="宋体"/>
          <w:color w:val="auto"/>
          <w:sz w:val="24"/>
          <w:szCs w:val="24"/>
          <w:highlight w:val="none"/>
        </w:rPr>
        <w:t xml:space="preserve">本项目不得转让和分包。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十三、需要补充的合同条款：</w:t>
      </w:r>
      <w:r>
        <w:rPr>
          <w:rFonts w:hint="eastAsia" w:ascii="宋体" w:hAnsi="宋体" w:eastAsia="宋体" w:cs="宋体"/>
          <w:color w:val="auto"/>
          <w:sz w:val="24"/>
          <w:szCs w:val="24"/>
          <w:highlight w:val="none"/>
        </w:rPr>
        <w:t xml:space="preserve">（根据评审过程中或者商务谈判时商定的条款和条件在订立合同时标明）。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1.双方签约人为各自法定代表人（负责人）或被授权代表。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2.本合同系指本文件及其附件中的所有部分，采购文件、中标（成交）单位的投标（响应）文件、中标（成交）通知书、中标（成交）单位在采购过程中的澄清和承诺等为本合同不可缺少的组成部分。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4.本合同壹式</w:t>
      </w:r>
      <w:r>
        <w:rPr>
          <w:rFonts w:hint="eastAsia" w:ascii="宋体" w:hAnsi="宋体" w:eastAsia="宋体" w:cs="宋体"/>
          <w:b/>
          <w:color w:val="auto"/>
          <w:sz w:val="24"/>
          <w:szCs w:val="24"/>
          <w:highlight w:val="none"/>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b/>
          <w:color w:val="auto"/>
          <w:sz w:val="24"/>
          <w:szCs w:val="24"/>
          <w:highlight w:val="none"/>
        </w:rPr>
        <w:t xml:space="preserve">贰</w:t>
      </w:r>
      <w:r>
        <w:rPr>
          <w:rFonts w:hint="eastAsia" w:ascii="宋体" w:hAnsi="宋体" w:eastAsia="宋体" w:cs="宋体"/>
          <w:color w:val="auto"/>
          <w:sz w:val="24"/>
          <w:szCs w:val="24"/>
          <w:highlight w:val="none"/>
        </w:rPr>
        <w:t xml:space="preserve">份，采购代理机构执壹份，各份具有同等法律效力。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pStyle w:val="959"/>
        <w:ind w:left="40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乙方（公章）：</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法定代表人（负责人）或授权代表（签字或盖章）： </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签约日期： </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line="579" w:lineRule="auto"/>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66"/>
        <w:jc w:val="center"/>
        <w:spacing w:before="0" w:after="0" w:line="360" w:lineRule="auto"/>
        <w:rPr>
          <w:rFonts w:hint="eastAsia" w:ascii="宋体" w:hAnsi="宋体" w:eastAsia="宋体"/>
          <w:color w:val="auto"/>
          <w:sz w:val="52"/>
          <w:highlight w:val="none"/>
        </w:rPr>
      </w:pPr>
      <w:r/>
      <w:bookmarkStart w:id="39" w:name="_Toc27864"/>
      <w:r>
        <w:rPr>
          <w:rFonts w:hint="eastAsia" w:ascii="宋体" w:hAnsi="宋体" w:eastAsia="宋体"/>
          <w:color w:val="auto"/>
          <w:sz w:val="52"/>
          <w:highlight w:val="none"/>
        </w:rPr>
        <w:t xml:space="preserve">第六章 评审办法</w:t>
      </w:r>
      <w:bookmarkEnd w:id="39"/>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65"/>
        <w:ind w:firstLine="482"/>
        <w:jc w:val="both"/>
        <w:spacing w:line="360" w:lineRule="auto"/>
        <w:rPr>
          <w:rFonts w:hint="eastAsia" w:ascii="宋体" w:hAnsi="宋体" w:eastAsia="宋体"/>
          <w:b/>
          <w:color w:val="auto"/>
          <w:szCs w:val="24"/>
          <w:highlight w:val="none"/>
        </w:rPr>
        <w:outlineLvl w:val="1"/>
      </w:pPr>
      <w:r>
        <w:rPr>
          <w:b/>
          <w:color w:val="auto"/>
          <w:highlight w:val="none"/>
        </w:rPr>
        <w:br w:type="page" w:clear="all"/>
      </w:r>
      <w:r>
        <w:rPr>
          <w:rFonts w:hint="eastAsia" w:ascii="宋体" w:hAnsi="宋体" w:eastAsia="宋体"/>
          <w:b/>
          <w:color w:val="auto"/>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2、根据江苏省财政厅《关于推动解决政府采购异常低价问题相关工作的通知》（苏财购〔2025〕62号）规定，政府采购异常低价审查：</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评审过程中出现下列情形之一的，评审委员会应当启</w:t>
      </w:r>
      <w:r>
        <w:rPr>
          <w:rFonts w:hint="eastAsia" w:ascii="宋体" w:hAnsi="宋体" w:eastAsia="宋体"/>
          <w:color w:val="auto"/>
          <w:sz w:val="24"/>
          <w:szCs w:val="24"/>
          <w:highlight w:val="none"/>
        </w:rPr>
        <w:t xml:space="preserve">动异常低价投标</w:t>
      </w:r>
      <w:r>
        <w:rPr>
          <w:rFonts w:ascii="宋体" w:hAnsi="宋体" w:eastAsia="宋体"/>
          <w:color w:val="auto"/>
          <w:sz w:val="24"/>
          <w:szCs w:val="24"/>
          <w:highlight w:val="none"/>
        </w:rPr>
        <w:t xml:space="preserve">(响应)审查程序</w:t>
      </w:r>
      <w:r>
        <w:rPr>
          <w:rFonts w:hint="eastAsia" w:ascii="宋体" w:hAnsi="宋体" w:eastAsia="宋体"/>
          <w:color w:val="auto"/>
          <w:sz w:val="24"/>
          <w:szCs w:val="24"/>
          <w:highlight w:val="none"/>
        </w:rPr>
        <w:t xml:space="preserve">：</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w:t>
      </w:r>
      <w:r>
        <w:rPr>
          <w:rFonts w:ascii="宋体" w:hAnsi="宋体" w:eastAsia="宋体"/>
          <w:color w:val="auto"/>
          <w:sz w:val="24"/>
          <w:szCs w:val="24"/>
          <w:highlight w:val="none"/>
        </w:rPr>
        <w:t xml:space="preserve">投标(响应)报价低于采购项目预算50%的，即投标(响应)报价</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采购项目预算</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50%</w:t>
      </w:r>
      <w:r>
        <w:rPr>
          <w:rFonts w:hint="eastAsia" w:ascii="宋体" w:hAnsi="宋体" w:eastAsia="宋体"/>
          <w:color w:val="auto"/>
          <w:sz w:val="24"/>
          <w:szCs w:val="24"/>
          <w:highlight w:val="none"/>
        </w:rPr>
        <w:t xml:space="preserve">；</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w:t>
      </w:r>
      <w:r>
        <w:rPr>
          <w:rFonts w:ascii="宋体" w:hAnsi="宋体" w:eastAsia="宋体"/>
          <w:color w:val="auto"/>
          <w:sz w:val="24"/>
          <w:szCs w:val="24"/>
          <w:highlight w:val="none"/>
        </w:rPr>
        <w:t xml:space="preserve">投标(响应)报价低于采购项目最高限价45%的，即投标(响应)报价</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采购项目最高限价</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45%</w:t>
      </w:r>
      <w:r>
        <w:rPr>
          <w:rFonts w:hint="eastAsia" w:ascii="宋体" w:hAnsi="宋体" w:eastAsia="宋体"/>
          <w:color w:val="auto"/>
          <w:sz w:val="24"/>
          <w:szCs w:val="24"/>
          <w:highlight w:val="none"/>
        </w:rPr>
        <w:t xml:space="preserve">；</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③</w:t>
      </w:r>
      <w:r>
        <w:rPr>
          <w:rFonts w:ascii="宋体" w:hAnsi="宋体" w:eastAsia="宋体"/>
          <w:color w:val="auto"/>
          <w:sz w:val="24"/>
          <w:szCs w:val="24"/>
          <w:highlight w:val="none"/>
        </w:rPr>
        <w:t xml:space="preserve">评审委员会认定的供应商报价过低、有可能影响产品质量或者不能诚信履约的其他情形。</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（2）符合上述</w:t>
      </w:r>
      <w:r>
        <w:rPr>
          <w:rFonts w:ascii="宋体" w:hAnsi="宋体" w:eastAsia="宋体"/>
          <w:color w:val="auto"/>
          <w:sz w:val="24"/>
          <w:szCs w:val="24"/>
          <w:highlight w:val="none"/>
        </w:rPr>
        <w:t xml:space="preserve">启动异常低价投标(响应)审查</w:t>
      </w:r>
      <w:r>
        <w:rPr>
          <w:rFonts w:hint="eastAsia" w:ascii="宋体" w:hAnsi="宋体" w:eastAsia="宋体"/>
          <w:color w:val="auto"/>
          <w:sz w:val="24"/>
          <w:szCs w:val="24"/>
          <w:highlight w:val="none"/>
        </w:rPr>
        <w:t xml:space="preserve">情形的，相关供应商应按</w:t>
      </w:r>
      <w:r>
        <w:rPr>
          <w:rFonts w:ascii="宋体" w:hAnsi="宋体" w:eastAsia="宋体"/>
          <w:color w:val="auto"/>
          <w:sz w:val="24"/>
          <w:szCs w:val="24"/>
          <w:highlight w:val="none"/>
        </w:rPr>
        <w:t xml:space="preserve">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40" w:name="_Hlk193379630"/>
      <w:r>
        <w:rPr>
          <w:rFonts w:hint="eastAsia" w:ascii="宋体" w:hAnsi="宋体" w:eastAsia="宋体" w:cs="宋体"/>
          <w:color w:val="auto"/>
          <w:sz w:val="24"/>
          <w:szCs w:val="24"/>
          <w:highlight w:val="none"/>
        </w:rPr>
        <w:t xml:space="preserve">采购人</w:t>
      </w:r>
      <w:bookmarkEnd w:id="40"/>
      <w:r>
        <w:rPr>
          <w:rFonts w:hint="eastAsia" w:ascii="宋体" w:hAnsi="宋体" w:eastAsia="宋体" w:cs="宋体"/>
          <w:color w:val="auto"/>
          <w:sz w:val="24"/>
          <w:szCs w:val="24"/>
          <w:highlight w:val="none"/>
        </w:rPr>
        <w:t xml:space="preserve">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二、评分标准</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color w:val="auto"/>
          <w:sz w:val="24"/>
          <w:szCs w:val="24"/>
          <w:highlight w:val="none"/>
          <w:u w:val="single"/>
        </w:rPr>
        <w:t xml:space="preserve"> 10 </w:t>
      </w:r>
      <w:r>
        <w:rPr>
          <w:rFonts w:hint="eastAsia" w:ascii="宋体" w:hAnsi="宋体" w:eastAsia="宋体" w:cs="宋体"/>
          <w:b/>
          <w:color w:val="auto"/>
          <w:sz w:val="24"/>
          <w:szCs w:val="24"/>
          <w:highlight w:val="none"/>
        </w:rPr>
        <w:t xml:space="preserve">分</w:t>
      </w:r>
      <w:r/>
    </w:p>
    <w:p>
      <w:pPr>
        <w:ind w:firstLine="56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本次报价采用固定单价，即不再进行价格竞争，故按要求承诺报价的即得满分10分，未按要求承诺的为非实质性响应文件，不进入评审。</w:t>
      </w:r>
      <w:r/>
    </w:p>
    <w:p>
      <w:pPr>
        <w:numPr>
          <w:ilvl w:val="0"/>
          <w:numId w:val="2"/>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58 </w:t>
      </w:r>
      <w:r>
        <w:rPr>
          <w:rFonts w:hint="eastAsia" w:ascii="宋体" w:hAnsi="宋体" w:eastAsia="宋体" w:cs="宋体"/>
          <w:b/>
          <w:color w:val="auto"/>
          <w:sz w:val="24"/>
          <w:szCs w:val="24"/>
          <w:highlight w:val="none"/>
        </w:rPr>
        <w:t xml:space="preserve">分</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540"/>
        <w:gridCol w:w="5330"/>
        <w:gridCol w:w="1290"/>
      </w:tblGrid>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评分项名称</w:t>
            </w:r>
            <w:r/>
          </w:p>
        </w:tc>
        <w:tc>
          <w:tcPr>
            <w:tcW w:w="533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评分标准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保障方案接受情况</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主要考察响应单位对于采购文件中要求的保障条件是否能够接受，是否有经保监会批准的专属条款。对于采购保险方案保障条件全部接受的得8分，部分接受不得分；有经保监会批准的专属条款加2分，最高加2分。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承保服务接受情况</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主要考察响应单位对于采购文件中要求的各项承保服务要求是否能够接受，是否增加了额外限制条件。对于采购保险方案承保服务全部接受的为10分；每增加一条限制性条件扣2分，扣完为止。 </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其他保险服务接受情况</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主要考察保险公司对于采购文件中要求的各项其他保险服务要求是否能够接受，对于其他保险服务全部接受得10分，部分接受或有限制条件接受不得分。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特殊限制条件</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考察响应单位是否对于采购文件要求的保险方案增加了限制性条件，有否影响到整个保险方案的完善性、合理性；相关分析指标包括：条款措辞限制、被保险人义务限制、索赔特别约定限制等。没有任何特殊限制条件的得10分；如响应单位对采购保险方案增加了限制性条件，则根据限制条件每项扣2分，扣完为止。</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服务质量承诺及监督措施</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响应单位中承诺的服务质量保证措施，相关分析指标包括：服务投诉处理办法、服务监督措施、赔款滞纳金、争议处理等。内容全面完善，措施有效科学合理，管理责任清晰，针对性强得6分；</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内容较完善，措施较有效，管理责任较清晰，针对性较强得4分；内容基本完善，措施基本有效，管理责任清晰度一般，针对性一般得2分；未提供不得分。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6,4,2,0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w:t>
            </w:r>
            <w:r/>
          </w:p>
        </w:tc>
        <w:tc>
          <w:tcPr>
            <w:tcW w:w="154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服务承诺及方案制订</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是否认真制订了专业培训等计划，相关分析指标包括：服务手册、回访制度、专业培训内容和时间计划、定期沟通等。方案全面完善，有效科学合理，管理责任清晰，针对性强得6分；方案较完善，较有效，管理责任较清晰，针对性较强得4分；方案基本完善，基本有效，管理责任清晰度一般，针对性一般得2分；未提供不得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6,4,2,0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w:t>
            </w:r>
            <w:r/>
          </w:p>
        </w:tc>
        <w:tc>
          <w:tcPr>
            <w:tcW w:w="154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理赔时效</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诺10个工作日内理赔，理赔速度快、赔付时效快、赔款支付便捷、理赔争议解决方式完善，得6分；承诺11-29个工作日内理赔，理赔速度较快、赔付时效较快、赔款支付较便捷、理赔争议解决方式较完善，得4分；超过30（含）个工作日理赔，理赔速度一般、赔付时效一般、赔款支付速度一般、理赔争议解决方式一般，得2分。注：响应文件中须提供相关承诺函，否则不得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6,4,2,0</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32 </w:t>
      </w:r>
      <w:r>
        <w:rPr>
          <w:rFonts w:hint="eastAsia" w:ascii="宋体" w:hAnsi="宋体" w:eastAsia="宋体" w:cs="宋体"/>
          <w:b/>
          <w:color w:val="auto"/>
          <w:sz w:val="24"/>
          <w:szCs w:val="24"/>
          <w:highlight w:val="none"/>
        </w:rPr>
        <w:t xml:space="preserve">分</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540"/>
        <w:gridCol w:w="5330"/>
        <w:gridCol w:w="1290"/>
      </w:tblGrid>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评分项名称</w:t>
            </w:r>
            <w:r/>
          </w:p>
        </w:tc>
        <w:tc>
          <w:tcPr>
            <w:tcW w:w="533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评分标准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核心偿付能力</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单位总公司的2024年四个季度平均核心偿付能力情况：2024年四个季度平均核心偿付能力≥150%，得10分；130%≤2024年四个季度平均核心偿付能力&lt;150%，得5分；110%≤2024年四个季度平均核心偿付能力&lt;130%，得2分；其余不得分。注：投标文件中提供中国保险行业协会网上公布的结果或公司官网截图并加盖投标单位公章，不提供、提供的材料不符合要求的不得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综合偿付能力</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总公司的2024年四个季度平均综合偿付能力情况：2024年四个季度平均综合偿付能力≥205%，得10分；195%≤2024年四个季度平均综合偿付能力&lt;205%，得5分；185%≤2024年四个季度平均综合偿付能力&lt;195%，得2分；其余不得分。注：投标文件中提供中国保险行业协会网上公布的结果或公司官网截图并加盖投标单位公章，不提供、提供的材料不符合要求的不得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r>
      <w:tr>
        <w:trPr>
          <w:jc w:val="center"/>
        </w:trPr>
        <w:tc>
          <w:tcPr>
            <w:tcW w:w="81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154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风险综合评级评价</w:t>
            </w:r>
            <w:r/>
          </w:p>
        </w:tc>
        <w:tc>
          <w:tcPr>
            <w:tcW w:w="5330" w:type="dxa"/>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所属总公司2024年度第1季度、2024年第2季度、2024年度第3季度、2024年第4季度风险综合评价结果：每有一个AAA级及以上得3分，每有一个AA级得2分，每有一个A级得1分，B级、C级不得分，最多得12分。注：投标文件中提供中国保险行业协会网上公布的结果或公司官网截图并加盖投标单位公章，不提供、提供的材料不符合要求的不得分。</w:t>
            </w:r>
            <w:r/>
          </w:p>
        </w:tc>
        <w:tc>
          <w:tcPr>
            <w:tcW w:w="1290"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（一）支持本国产品政策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本项目不涉及</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41" w:name="OLE_LINK13"/>
      <w:r>
        <w:rPr>
          <w:rFonts w:hint="eastAsia" w:ascii="宋体" w:hAnsi="宋体" w:eastAsia="宋体" w:cs="宋体"/>
          <w:b w:val="0"/>
          <w:bCs w:val="0"/>
          <w:color w:val="auto"/>
          <w:sz w:val="24"/>
          <w:szCs w:val="24"/>
          <w:highlight w:val="none"/>
          <w:lang w:val="zh-CN"/>
        </w:rPr>
        <w:t xml:space="preserve">（国办发［2025］34号）</w:t>
      </w:r>
      <w:bookmarkEnd w:id="41"/>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符合本国产品标准的声明函》（格式见第三章），或财政部会同有关部门规定的有关证明文件。供应商需在《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）促进中小企业发展政策</w:t>
      </w:r>
      <w:r/>
    </w:p>
    <w:p>
      <w:pPr>
        <w:ind w:firstLine="480"/>
        <w:spacing w:line="360" w:lineRule="auto"/>
        <w:rPr>
          <w:rFonts w:hint="eastAsia" w:ascii="宋体" w:hAnsi="宋体" w:eastAsia="宋体" w:cs="宋体"/>
          <w:color w:val="auto"/>
          <w:sz w:val="24"/>
          <w:szCs w:val="24"/>
          <w:highlight w:val="none"/>
        </w:rPr>
      </w:pPr>
      <w:r/>
      <w:bookmarkStart w:id="42"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4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20 %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95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w:t>
      </w:r>
      <w:bookmarkStart w:id="43" w:name="OLE_LINK8"/>
      <w:r/>
      <w:bookmarkStart w:id="44" w:name="OLE_LINK9"/>
      <w:r>
        <w:rPr>
          <w:rFonts w:hint="eastAsia" w:ascii="宋体" w:hAnsi="宋体" w:eastAsia="宋体" w:cs="宋体"/>
          <w:color w:val="auto"/>
          <w:szCs w:val="24"/>
          <w:highlight w:val="none"/>
        </w:rPr>
        <w:t xml:space="preserve">接受供应商为联合体投标（响应）</w:t>
      </w:r>
      <w:bookmarkEnd w:id="43"/>
      <w:r/>
      <w:bookmarkEnd w:id="44"/>
      <w:r>
        <w:rPr>
          <w:rFonts w:hint="eastAsia" w:ascii="宋体" w:hAnsi="宋体" w:eastAsia="宋体" w:cs="宋体"/>
          <w:color w:val="auto"/>
          <w:szCs w:val="24"/>
          <w:highlight w:val="none"/>
        </w:rPr>
        <w:t xml:space="preserve">，联合体各方均为小微企业的，对联合体报价在评审时给予</w:t>
      </w:r>
      <w:r>
        <w:rPr>
          <w:rFonts w:hint="eastAsia" w:ascii="宋体" w:hAnsi="宋体" w:eastAsia="宋体" w:cs="宋体"/>
          <w:color w:val="auto"/>
          <w:szCs w:val="24"/>
          <w:highlight w:val="none"/>
          <w:u w:val="single"/>
        </w:rPr>
        <w:t xml:space="preserve"> 20 %</w:t>
      </w:r>
      <w:r>
        <w:rPr>
          <w:rFonts w:hint="eastAsia" w:ascii="宋体" w:hAnsi="宋体" w:eastAsia="宋体" w:cs="宋体"/>
          <w:color w:val="auto"/>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Cs w:val="24"/>
          <w:highlight w:val="none"/>
          <w:u w:val="single"/>
        </w:rPr>
        <w:t xml:space="preserve"> 20 %</w:t>
      </w:r>
      <w:r>
        <w:rPr>
          <w:rFonts w:hint="eastAsia" w:ascii="宋体" w:hAnsi="宋体" w:eastAsia="宋体" w:cs="宋体"/>
          <w:color w:val="auto"/>
          <w:szCs w:val="24"/>
          <w:highlight w:val="none"/>
        </w:rPr>
        <w:t xml:space="preserve">的扣除，用扣除后的价格参与评审。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（四）监狱企业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66"/>
        <w:jc w:val="center"/>
        <w:spacing w:before="0" w:after="0" w:line="360" w:lineRule="auto"/>
        <w:rPr>
          <w:rFonts w:hint="eastAsia" w:ascii="宋体" w:hAnsi="宋体" w:eastAsia="宋体"/>
          <w:color w:val="auto"/>
          <w:sz w:val="52"/>
          <w:highlight w:val="none"/>
        </w:rPr>
      </w:pPr>
      <w:r/>
      <w:bookmarkStart w:id="45" w:name="_Toc23086"/>
      <w:r>
        <w:rPr>
          <w:rFonts w:hint="eastAsia" w:ascii="宋体" w:hAnsi="宋体" w:eastAsia="宋体"/>
          <w:color w:val="auto"/>
          <w:sz w:val="52"/>
          <w:highlight w:val="none"/>
        </w:rPr>
        <w:t xml:space="preserve">第七章 附件</w:t>
      </w:r>
      <w:bookmarkEnd w:id="45"/>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附件1：政府采购合同信用融资政策告知函</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附件2：中小企业</w:t>
      </w:r>
      <w:r>
        <w:rPr>
          <w:rFonts w:hint="eastAsia" w:ascii="宋体" w:hAnsi="宋体" w:eastAsia="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pStyle w:val="973"/>
        <w:ind w:firstLine="0"/>
        <w:jc w:val="left"/>
        <w:rPr>
          <w:rFonts w:hint="eastAsia" w:ascii="宋体" w:hAnsi="宋体"/>
          <w:b/>
          <w:bCs/>
          <w:color w:val="auto"/>
          <w:highlight w:val="none"/>
        </w:rPr>
      </w:pPr>
      <w:r>
        <w:rPr>
          <w:rFonts w:hint="eastAsia" w:ascii="宋体" w:hAnsi="宋体"/>
          <w:b/>
          <w:bCs/>
          <w:color w:val="auto"/>
          <w:highlight w:val="none"/>
        </w:rPr>
      </w:r>
      <w:r/>
    </w:p>
    <w:p>
      <w:pP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br w:type="page" w:clear="all"/>
      </w:r>
      <w:r/>
    </w:p>
    <w:p>
      <w:pPr>
        <w:jc w:val="left"/>
        <w:spacing w:line="360" w:lineRule="auto"/>
        <w:widowControl/>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附件1：</w:t>
      </w:r>
      <w:r/>
    </w:p>
    <w:p>
      <w:pPr>
        <w:jc w:val="center"/>
        <w:spacing w:line="360" w:lineRule="auto"/>
        <w:widowControl/>
        <w:rPr>
          <w:rFonts w:hint="eastAsia" w:ascii="宋体" w:hAnsi="宋体" w:eastAsia="宋体"/>
          <w:b/>
          <w:color w:val="auto"/>
          <w:sz w:val="24"/>
          <w:szCs w:val="24"/>
          <w:highlight w:val="none"/>
        </w:rPr>
      </w:pPr>
      <w:r>
        <w:rPr>
          <w:rFonts w:ascii="宋体" w:hAnsi="宋体" w:eastAsia="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各政府采购供应商：</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br w:type="page" w:clear="all"/>
      </w:r>
      <w:r/>
    </w:p>
    <w:p>
      <w:pPr>
        <w:pStyle w:val="973"/>
        <w:ind w:firstLine="0"/>
        <w:jc w:val="left"/>
        <w:rPr>
          <w:rFonts w:hint="eastAsia" w:ascii="宋体" w:hAnsi="宋体"/>
          <w:b/>
          <w:bCs/>
          <w:color w:val="auto"/>
          <w:highlight w:val="none"/>
        </w:rPr>
      </w:pPr>
      <w:r>
        <w:rPr>
          <w:rFonts w:hint="eastAsia" w:ascii="宋体" w:hAnsi="宋体"/>
          <w:b/>
          <w:bCs/>
          <w:color w:val="auto"/>
          <w:highlight w:val="none"/>
        </w:rPr>
        <w:t xml:space="preserve">附件2：</w:t>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中小企业</w:t>
      </w:r>
      <w:r>
        <w:rPr>
          <w:rFonts w:hint="eastAsia" w:ascii="宋体" w:hAnsi="宋体" w:eastAsia="宋体"/>
          <w:b/>
          <w:bCs/>
          <w:color w:val="auto"/>
          <w:sz w:val="24"/>
          <w:szCs w:val="24"/>
          <w:highlight w:val="none"/>
        </w:rPr>
        <w:t xml:space="preserve">相关要求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color w:val="auto"/>
          <w:sz w:val="24"/>
          <w:szCs w:val="24"/>
          <w:highlight w:val="none"/>
        </w:rPr>
        <w:t xml:space="preserve">服务类项目中供应商若使用退休人员，将不享受相应扶持政策。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color w:val="auto"/>
          <w:sz w:val="24"/>
          <w:szCs w:val="24"/>
          <w:highlight w:val="none"/>
        </w:rPr>
        <w:t xml:space="preserve">本采购标的对应的中小企业划分标准所属行业，以采购文件中具体规定为准。</w:t>
      </w:r>
      <w:r/>
    </w:p>
    <w:p>
      <w:pPr>
        <w:ind w:firstLine="480"/>
        <w:spacing w:line="360" w:lineRule="auto"/>
        <w:rPr>
          <w:rFonts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eastAsia="宋体" w:cs="宋体"/>
          <w:b/>
          <w:color w:val="auto"/>
          <w:sz w:val="24"/>
          <w:szCs w:val="24"/>
          <w:highlight w:val="none"/>
        </w:rPr>
        <w:t xml:space="preserve">如未在</w:t>
      </w:r>
      <w:r>
        <w:rPr>
          <w:rFonts w:hint="eastAsia" w:eastAsia="宋体" w:cs="宋体"/>
          <w:color w:val="auto"/>
          <w:sz w:val="24"/>
          <w:szCs w:val="24"/>
          <w:highlight w:val="none"/>
        </w:rPr>
        <w:t xml:space="preserve">《中小企业声明函》中填写注明具体企业类型</w:t>
      </w:r>
      <w:r>
        <w:rPr>
          <w:rFonts w:hint="eastAsia" w:eastAsia="宋体" w:cs="宋体"/>
          <w:b/>
          <w:color w:val="auto"/>
          <w:sz w:val="24"/>
          <w:szCs w:val="24"/>
          <w:highlight w:val="none"/>
        </w:rPr>
        <w:t xml:space="preserve">（中型企业、小型企业或微型企业），不视为中小微企业，不享受相应扶持政策</w:t>
      </w:r>
      <w:r>
        <w:rPr>
          <w:rFonts w:hint="eastAsia" w:eastAsia="宋体" w:cs="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中标（成交）单位为中小企业的，《中小企业声明函》将随中标（成交）结果同时公告。</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959"/>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附件3：</w:t>
      </w:r>
      <w:r/>
    </w:p>
    <w:p>
      <w:pPr>
        <w:pStyle w:val="959"/>
        <w:ind w:left="0"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中小企业划型标准规定（工信部联企业〔2011〕300号）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959"/>
        <w:jc w:val="right"/>
        <w:rPr>
          <w:color w:val="auto"/>
          <w:highlight w:val="none"/>
        </w:rPr>
      </w:pPr>
      <w:r>
        <w:rPr>
          <w:rFonts w:hint="eastAsia" w:ascii="宋体" w:hAnsi="宋体" w:cs="宋体"/>
          <w:bCs/>
          <w:color w:val="auto"/>
          <w:sz w:val="24"/>
          <w:szCs w:val="24"/>
          <w:highlight w:val="none"/>
        </w:rPr>
        <w:t xml:space="preserve">（全文完）</w:t>
      </w:r>
      <w:r/>
    </w:p>
    <w:p>
      <w:pPr>
        <w:pStyle w:val="959"/>
        <w:rPr>
          <w:rFonts w:hint="eastAsia" w:ascii="宋体" w:hAnsi="宋体" w:cs="宋体"/>
          <w:b/>
          <w:color w:val="auto"/>
          <w:szCs w:val="21"/>
          <w:highlight w:val="none"/>
        </w:rPr>
      </w:pPr>
      <w:r>
        <w:rPr>
          <w:rFonts w:hint="eastAsia" w:ascii="宋体" w:hAnsi="宋体" w:cs="宋体"/>
          <w:b/>
          <w:color w:val="auto"/>
          <w:szCs w:val="21"/>
          <w:highlight w:val="none"/>
        </w:rPr>
      </w:r>
      <w:r/>
    </w:p>
    <w:p>
      <w:pPr>
        <w:pStyle w:val="959"/>
        <w:rPr>
          <w:color w:val="auto"/>
          <w:highlight w:val="none"/>
        </w:rPr>
      </w:pPr>
      <w:r>
        <w:rPr>
          <w:color w:val="auto"/>
          <w:highlight w:val="none"/>
        </w:rPr>
      </w:r>
      <w:r/>
    </w:p>
    <w:sectPr>
      <w:footerReference w:type="default" r:id="rId14"/>
      <w:footnotePr/>
      <w:endnotePr/>
      <w:type w:val="nextPage"/>
      <w:pgSz w:w="11906" w:h="16838" w:orient="portrait"/>
      <w:pgMar w:top="1440" w:right="1576" w:bottom="1440" w:left="157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68"/>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8"/>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keepLines w:val="0"/>
        <w:keepNext w:val="0"/>
        <w:pageBreakBefore w:val="0"/>
        <w:widowControl w:val="off"/>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ascii="宋体" w:hAnsi="宋体" w:eastAsia="宋体"/>
        <w:szCs w:val="22"/>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hint="eastAsia" w:ascii="宋体" w:hAnsi="宋体" w:eastAsia="宋体"/>
        <w:szCs w:val="22"/>
        <w:lang w:eastAsia="zh-CN"/>
      </w:rPr>
      <w:t xml:space="preserve">JSZC-320506-SZCH-C2025-0121</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47"/>
    <w:link w:val="945"/>
    <w:uiPriority w:val="9"/>
    <w:rPr>
      <w:rFonts w:ascii="Arial" w:hAnsi="Arial" w:eastAsia="Arial" w:cs="Arial"/>
      <w:sz w:val="40"/>
      <w:szCs w:val="40"/>
    </w:rPr>
  </w:style>
  <w:style w:type="character" w:styleId="775">
    <w:name w:val="Heading 2 Char"/>
    <w:basedOn w:val="947"/>
    <w:link w:val="946"/>
    <w:uiPriority w:val="9"/>
    <w:rPr>
      <w:rFonts w:ascii="Arial" w:hAnsi="Arial" w:eastAsia="Arial" w:cs="Arial"/>
      <w:sz w:val="34"/>
    </w:rPr>
  </w:style>
  <w:style w:type="paragraph" w:styleId="776">
    <w:name w:val="Heading 3"/>
    <w:basedOn w:val="944"/>
    <w:next w:val="944"/>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basedOn w:val="947"/>
    <w:link w:val="776"/>
    <w:uiPriority w:val="9"/>
    <w:rPr>
      <w:rFonts w:ascii="Arial" w:hAnsi="Arial" w:eastAsia="Arial" w:cs="Arial"/>
      <w:sz w:val="30"/>
      <w:szCs w:val="30"/>
    </w:rPr>
  </w:style>
  <w:style w:type="paragraph" w:styleId="778">
    <w:name w:val="Heading 4"/>
    <w:basedOn w:val="944"/>
    <w:next w:val="944"/>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basedOn w:val="947"/>
    <w:link w:val="778"/>
    <w:uiPriority w:val="9"/>
    <w:rPr>
      <w:rFonts w:ascii="Arial" w:hAnsi="Arial" w:eastAsia="Arial" w:cs="Arial"/>
      <w:b/>
      <w:bCs/>
      <w:sz w:val="26"/>
      <w:szCs w:val="26"/>
    </w:rPr>
  </w:style>
  <w:style w:type="paragraph" w:styleId="780">
    <w:name w:val="Heading 5"/>
    <w:basedOn w:val="944"/>
    <w:next w:val="944"/>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basedOn w:val="947"/>
    <w:link w:val="780"/>
    <w:uiPriority w:val="9"/>
    <w:rPr>
      <w:rFonts w:ascii="Arial" w:hAnsi="Arial" w:eastAsia="Arial" w:cs="Arial"/>
      <w:b/>
      <w:bCs/>
      <w:sz w:val="24"/>
      <w:szCs w:val="24"/>
    </w:rPr>
  </w:style>
  <w:style w:type="paragraph" w:styleId="782">
    <w:name w:val="Heading 6"/>
    <w:basedOn w:val="944"/>
    <w:next w:val="944"/>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basedOn w:val="947"/>
    <w:link w:val="782"/>
    <w:uiPriority w:val="9"/>
    <w:rPr>
      <w:rFonts w:ascii="Arial" w:hAnsi="Arial" w:eastAsia="Arial" w:cs="Arial"/>
      <w:b/>
      <w:bCs/>
      <w:sz w:val="22"/>
      <w:szCs w:val="22"/>
    </w:rPr>
  </w:style>
  <w:style w:type="paragraph" w:styleId="784">
    <w:name w:val="Heading 7"/>
    <w:basedOn w:val="944"/>
    <w:next w:val="944"/>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basedOn w:val="947"/>
    <w:link w:val="784"/>
    <w:uiPriority w:val="9"/>
    <w:rPr>
      <w:rFonts w:ascii="Arial" w:hAnsi="Arial" w:eastAsia="Arial" w:cs="Arial"/>
      <w:b/>
      <w:bCs/>
      <w:i/>
      <w:iCs/>
      <w:sz w:val="22"/>
      <w:szCs w:val="22"/>
    </w:rPr>
  </w:style>
  <w:style w:type="paragraph" w:styleId="786">
    <w:name w:val="Heading 8"/>
    <w:basedOn w:val="944"/>
    <w:next w:val="944"/>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basedOn w:val="947"/>
    <w:link w:val="786"/>
    <w:uiPriority w:val="9"/>
    <w:rPr>
      <w:rFonts w:ascii="Arial" w:hAnsi="Arial" w:eastAsia="Arial" w:cs="Arial"/>
      <w:i/>
      <w:iCs/>
      <w:sz w:val="22"/>
      <w:szCs w:val="22"/>
    </w:rPr>
  </w:style>
  <w:style w:type="paragraph" w:styleId="788">
    <w:name w:val="Heading 9"/>
    <w:basedOn w:val="944"/>
    <w:next w:val="944"/>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basedOn w:val="947"/>
    <w:link w:val="788"/>
    <w:uiPriority w:val="9"/>
    <w:rPr>
      <w:rFonts w:ascii="Arial" w:hAnsi="Arial" w:eastAsia="Arial" w:cs="Arial"/>
      <w:i/>
      <w:iCs/>
      <w:sz w:val="21"/>
      <w:szCs w:val="21"/>
    </w:rPr>
  </w:style>
  <w:style w:type="paragraph" w:styleId="790">
    <w:name w:val="List Paragraph"/>
    <w:basedOn w:val="944"/>
    <w:uiPriority w:val="34"/>
    <w:qFormat/>
    <w:pPr>
      <w:contextualSpacing/>
      <w:ind w:left="720"/>
    </w:pPr>
  </w:style>
  <w:style w:type="paragraph" w:styleId="791">
    <w:name w:val="No Spacing"/>
    <w:uiPriority w:val="1"/>
    <w:qFormat/>
    <w:pPr>
      <w:spacing w:before="0" w:after="0" w:line="240" w:lineRule="auto"/>
    </w:pPr>
  </w:style>
  <w:style w:type="paragraph" w:styleId="792">
    <w:name w:val="Title"/>
    <w:basedOn w:val="944"/>
    <w:next w:val="944"/>
    <w:link w:val="793"/>
    <w:uiPriority w:val="10"/>
    <w:qFormat/>
    <w:pPr>
      <w:contextualSpacing/>
      <w:spacing w:before="300" w:after="200"/>
    </w:pPr>
    <w:rPr>
      <w:sz w:val="48"/>
      <w:szCs w:val="48"/>
    </w:rPr>
  </w:style>
  <w:style w:type="character" w:styleId="793">
    <w:name w:val="Title Char"/>
    <w:basedOn w:val="947"/>
    <w:link w:val="792"/>
    <w:uiPriority w:val="10"/>
    <w:rPr>
      <w:sz w:val="48"/>
      <w:szCs w:val="48"/>
    </w:rPr>
  </w:style>
  <w:style w:type="paragraph" w:styleId="794">
    <w:name w:val="Subtitle"/>
    <w:basedOn w:val="944"/>
    <w:next w:val="944"/>
    <w:link w:val="795"/>
    <w:uiPriority w:val="11"/>
    <w:qFormat/>
    <w:pPr>
      <w:spacing w:before="200" w:after="200"/>
    </w:pPr>
    <w:rPr>
      <w:sz w:val="24"/>
      <w:szCs w:val="24"/>
    </w:rPr>
  </w:style>
  <w:style w:type="character" w:styleId="795">
    <w:name w:val="Subtitle Char"/>
    <w:basedOn w:val="947"/>
    <w:link w:val="794"/>
    <w:uiPriority w:val="11"/>
    <w:rPr>
      <w:sz w:val="24"/>
      <w:szCs w:val="24"/>
    </w:rPr>
  </w:style>
  <w:style w:type="paragraph" w:styleId="796">
    <w:name w:val="Quote"/>
    <w:basedOn w:val="944"/>
    <w:next w:val="944"/>
    <w:link w:val="797"/>
    <w:uiPriority w:val="29"/>
    <w:qFormat/>
    <w:pPr>
      <w:ind w:left="720" w:right="720"/>
    </w:pPr>
    <w:rPr>
      <w:i/>
    </w:rPr>
  </w:style>
  <w:style w:type="character" w:styleId="797">
    <w:name w:val="Quote Char"/>
    <w:link w:val="796"/>
    <w:uiPriority w:val="29"/>
    <w:rPr>
      <w:i/>
    </w:rPr>
  </w:style>
  <w:style w:type="paragraph" w:styleId="798">
    <w:name w:val="Intense Quote"/>
    <w:basedOn w:val="944"/>
    <w:next w:val="944"/>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7"/>
    <w:link w:val="956"/>
    <w:uiPriority w:val="99"/>
  </w:style>
  <w:style w:type="character" w:styleId="801">
    <w:name w:val="Footer Char"/>
    <w:basedOn w:val="947"/>
    <w:link w:val="955"/>
    <w:uiPriority w:val="99"/>
  </w:style>
  <w:style w:type="paragraph" w:styleId="802">
    <w:name w:val="Caption"/>
    <w:basedOn w:val="944"/>
    <w:next w:val="944"/>
    <w:uiPriority w:val="35"/>
    <w:semiHidden/>
    <w:unhideWhenUsed/>
    <w:qFormat/>
    <w:pPr>
      <w:spacing w:line="276" w:lineRule="auto"/>
    </w:pPr>
    <w:rPr>
      <w:b/>
      <w:bCs/>
      <w:color w:val="4f81bd" w:themeColor="accent1"/>
      <w:sz w:val="18"/>
      <w:szCs w:val="18"/>
    </w:rPr>
  </w:style>
  <w:style w:type="character" w:styleId="803">
    <w:name w:val="Caption Char"/>
    <w:basedOn w:val="802"/>
    <w:link w:val="955"/>
    <w:uiPriority w:val="99"/>
  </w:style>
  <w:style w:type="table" w:styleId="804">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0">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1">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2">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3">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4">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5">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1">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2">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5">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6">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7">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8">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79">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0">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2">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3">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4">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5">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6">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7">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6">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7">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8">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99">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0">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1">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3">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4">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5">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6">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7">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8">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0">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1">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2">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3">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4">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5">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7">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8">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9">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0">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1">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2">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9">
    <w:name w:val="footnote text"/>
    <w:basedOn w:val="944"/>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basedOn w:val="947"/>
    <w:uiPriority w:val="99"/>
    <w:unhideWhenUsed/>
    <w:rPr>
      <w:vertAlign w:val="superscript"/>
    </w:rPr>
  </w:style>
  <w:style w:type="paragraph" w:styleId="932">
    <w:name w:val="endnote text"/>
    <w:basedOn w:val="944"/>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47"/>
    <w:uiPriority w:val="99"/>
    <w:semiHidden/>
    <w:unhideWhenUsed/>
    <w:rPr>
      <w:vertAlign w:val="superscript"/>
    </w:rPr>
  </w:style>
  <w:style w:type="paragraph" w:styleId="935">
    <w:name w:val="toc 2"/>
    <w:basedOn w:val="944"/>
    <w:next w:val="944"/>
    <w:uiPriority w:val="39"/>
    <w:unhideWhenUsed/>
    <w:pPr>
      <w:ind w:left="283" w:right="0" w:firstLine="0"/>
      <w:spacing w:after="57"/>
    </w:pPr>
  </w:style>
  <w:style w:type="paragraph" w:styleId="936">
    <w:name w:val="toc 3"/>
    <w:basedOn w:val="944"/>
    <w:next w:val="944"/>
    <w:uiPriority w:val="39"/>
    <w:unhideWhenUsed/>
    <w:pPr>
      <w:ind w:left="567" w:right="0" w:firstLine="0"/>
      <w:spacing w:after="57"/>
    </w:pPr>
  </w:style>
  <w:style w:type="paragraph" w:styleId="937">
    <w:name w:val="toc 4"/>
    <w:basedOn w:val="944"/>
    <w:next w:val="944"/>
    <w:uiPriority w:val="39"/>
    <w:unhideWhenUsed/>
    <w:pPr>
      <w:ind w:left="850" w:right="0" w:firstLine="0"/>
      <w:spacing w:after="57"/>
    </w:pPr>
  </w:style>
  <w:style w:type="paragraph" w:styleId="938">
    <w:name w:val="toc 5"/>
    <w:basedOn w:val="944"/>
    <w:next w:val="944"/>
    <w:uiPriority w:val="39"/>
    <w:unhideWhenUsed/>
    <w:pPr>
      <w:ind w:left="1134" w:right="0" w:firstLine="0"/>
      <w:spacing w:after="57"/>
    </w:pPr>
  </w:style>
  <w:style w:type="paragraph" w:styleId="939">
    <w:name w:val="toc 6"/>
    <w:basedOn w:val="944"/>
    <w:next w:val="944"/>
    <w:uiPriority w:val="39"/>
    <w:unhideWhenUsed/>
    <w:pPr>
      <w:ind w:left="1417"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49"/>
    <w:uiPriority w:val="0"/>
    <w:qFormat/>
    <w:pPr>
      <w:jc w:val="both"/>
      <w:widowControl w:val="off"/>
    </w:pPr>
    <w:rPr>
      <w:rFonts w:ascii="Times New Roman" w:hAnsi="Times New Roman" w:eastAsia="楷体_GB2312" w:cs="Times New Roman"/>
      <w:sz w:val="26"/>
      <w:lang w:val="en-US" w:eastAsia="zh-CN" w:bidi="ar-SA"/>
    </w:rPr>
  </w:style>
  <w:style w:type="paragraph" w:styleId="945">
    <w:name w:val="Heading 1"/>
    <w:basedOn w:val="944"/>
    <w:next w:val="944"/>
    <w:uiPriority w:val="0"/>
    <w:qFormat/>
    <w:pPr>
      <w:keepLines/>
      <w:keepNext/>
      <w:spacing w:before="340" w:after="330" w:line="578" w:lineRule="auto"/>
      <w:outlineLvl w:val="0"/>
    </w:pPr>
    <w:rPr>
      <w:b/>
      <w:sz w:val="44"/>
    </w:rPr>
  </w:style>
  <w:style w:type="paragraph" w:styleId="946">
    <w:name w:val="Heading 2"/>
    <w:basedOn w:val="944"/>
    <w:next w:val="944"/>
    <w:uiPriority w:val="9"/>
    <w:qFormat/>
    <w:pPr>
      <w:keepLines/>
      <w:keepNext/>
      <w:spacing w:before="360" w:after="200"/>
      <w:outlineLvl w:val="1"/>
    </w:pPr>
    <w:rPr>
      <w:rFonts w:ascii="Arial" w:hAnsi="Arial" w:eastAsia="Arial" w:cs="Arial"/>
      <w:sz w:val="34"/>
    </w:rPr>
  </w:style>
  <w:style w:type="character" w:styleId="947" w:default="1">
    <w:name w:val="Default Paragraph Font"/>
    <w:uiPriority w:val="1"/>
    <w:semiHidden/>
    <w:unhideWhenUsed/>
    <w:qFormat/>
  </w:style>
  <w:style w:type="table" w:styleId="948" w:default="1">
    <w:name w:val="Normal Table"/>
    <w:uiPriority w:val="99"/>
    <w:semiHidden/>
    <w:unhideWhenUsed/>
    <w:tblPr>
      <w:tblCellMar>
        <w:left w:w="108" w:type="dxa"/>
        <w:top w:w="0" w:type="dxa"/>
        <w:right w:w="108" w:type="dxa"/>
        <w:bottom w:w="0" w:type="dxa"/>
      </w:tblCellMar>
    </w:tblPr>
  </w:style>
  <w:style w:type="paragraph" w:styleId="949">
    <w:name w:val="Body Text"/>
    <w:basedOn w:val="944"/>
    <w:uiPriority w:val="0"/>
    <w:qFormat/>
    <w:pPr>
      <w:spacing w:line="400" w:lineRule="exact"/>
    </w:pPr>
    <w:rPr>
      <w:rFonts w:ascii="楷体_GB2312" w:hAnsi="Calibri"/>
      <w:sz w:val="28"/>
    </w:rPr>
  </w:style>
  <w:style w:type="paragraph" w:styleId="950">
    <w:name w:val="toc 7"/>
    <w:basedOn w:val="944"/>
    <w:next w:val="944"/>
    <w:uiPriority w:val="0"/>
    <w:qFormat/>
    <w:pPr>
      <w:ind w:left="2520"/>
    </w:pPr>
  </w:style>
  <w:style w:type="paragraph" w:styleId="951">
    <w:name w:val="Normal Indent"/>
    <w:basedOn w:val="944"/>
    <w:link w:val="979"/>
    <w:uiPriority w:val="0"/>
    <w:qFormat/>
    <w:pPr>
      <w:ind w:firstLine="420"/>
      <w:jc w:val="left"/>
    </w:pPr>
    <w:rPr>
      <w:sz w:val="24"/>
    </w:rPr>
  </w:style>
  <w:style w:type="paragraph" w:styleId="952">
    <w:name w:val="annotation text"/>
    <w:basedOn w:val="944"/>
    <w:link w:val="980"/>
    <w:uiPriority w:val="0"/>
    <w:qFormat/>
    <w:pPr>
      <w:jc w:val="left"/>
    </w:pPr>
    <w:rPr>
      <w:rFonts w:ascii="Calibri" w:hAnsi="Calibri"/>
    </w:rPr>
  </w:style>
  <w:style w:type="paragraph" w:styleId="953">
    <w:name w:val="index 6"/>
    <w:basedOn w:val="944"/>
    <w:next w:val="944"/>
    <w:uiPriority w:val="0"/>
    <w:qFormat/>
    <w:pPr>
      <w:ind w:left="2100"/>
    </w:pPr>
    <w:rPr>
      <w:rFonts w:ascii="Calibri" w:hAnsi="Calibri"/>
    </w:rPr>
  </w:style>
  <w:style w:type="paragraph" w:styleId="954">
    <w:name w:val="Body Text Indent"/>
    <w:basedOn w:val="944"/>
    <w:uiPriority w:val="99"/>
    <w:qFormat/>
    <w:pPr>
      <w:ind w:left="570"/>
      <w:spacing w:line="520" w:lineRule="exact"/>
    </w:pPr>
    <w:rPr>
      <w:rFonts w:ascii="方正仿宋简体" w:hAnsi="创艺简仿宋" w:eastAsia="方正仿宋简体"/>
      <w:sz w:val="24"/>
    </w:rPr>
  </w:style>
  <w:style w:type="paragraph" w:styleId="955">
    <w:name w:val="Footer"/>
    <w:basedOn w:val="944"/>
    <w:uiPriority w:val="99"/>
    <w:unhideWhenUsed/>
    <w:qFormat/>
    <w:pPr>
      <w:tabs>
        <w:tab w:val="center" w:pos="7143" w:leader="none"/>
        <w:tab w:val="right" w:pos="14287" w:leader="none"/>
      </w:tabs>
    </w:pPr>
  </w:style>
  <w:style w:type="paragraph" w:styleId="956">
    <w:name w:val="Header"/>
    <w:basedOn w:val="944"/>
    <w:uiPriority w:val="99"/>
    <w:unhideWhenUsed/>
    <w:qFormat/>
    <w:pPr>
      <w:tabs>
        <w:tab w:val="center" w:pos="7143" w:leader="none"/>
        <w:tab w:val="right" w:pos="14287" w:leader="none"/>
      </w:tabs>
    </w:pPr>
  </w:style>
  <w:style w:type="paragraph" w:styleId="957">
    <w:name w:val="toc 1"/>
    <w:basedOn w:val="944"/>
    <w:next w:val="944"/>
    <w:uiPriority w:val="39"/>
    <w:unhideWhenUsed/>
    <w:qFormat/>
    <w:pPr>
      <w:spacing w:after="57"/>
    </w:pPr>
  </w:style>
  <w:style w:type="paragraph" w:styleId="958">
    <w:name w:val="Normal (Web)"/>
    <w:basedOn w:val="944"/>
    <w:uiPriority w:val="0"/>
    <w:qFormat/>
    <w:pPr>
      <w:jc w:val="left"/>
      <w:spacing w:beforeAutospacing="1" w:afterAutospacing="1"/>
    </w:pPr>
    <w:rPr>
      <w:sz w:val="24"/>
    </w:rPr>
  </w:style>
  <w:style w:type="paragraph" w:styleId="959">
    <w:name w:val="Body Text First Indent 2"/>
    <w:basedOn w:val="954"/>
    <w:uiPriority w:val="99"/>
    <w:unhideWhenUsed/>
    <w:qFormat/>
    <w:pPr>
      <w:ind w:left="420" w:firstLine="420"/>
      <w:spacing w:after="120"/>
    </w:pPr>
    <w:rPr>
      <w:rFonts w:ascii="Calibri" w:hAnsi="Calibri" w:eastAsia="宋体"/>
      <w:sz w:val="21"/>
    </w:rPr>
  </w:style>
  <w:style w:type="table" w:styleId="960">
    <w:name w:val="Table Grid"/>
    <w:basedOn w:val="9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1">
    <w:name w:val="Strong"/>
    <w:basedOn w:val="947"/>
    <w:uiPriority w:val="0"/>
    <w:qFormat/>
    <w:rPr>
      <w:b/>
    </w:rPr>
  </w:style>
  <w:style w:type="character" w:styleId="962">
    <w:name w:val="Emphasis"/>
    <w:uiPriority w:val="0"/>
    <w:qFormat/>
    <w:rPr>
      <w:i/>
    </w:rPr>
  </w:style>
  <w:style w:type="character" w:styleId="963">
    <w:name w:val="Hyperlink"/>
    <w:basedOn w:val="947"/>
    <w:uiPriority w:val="0"/>
    <w:qFormat/>
    <w:rPr>
      <w:color w:val="0026e5" w:themeColor="hyperlink"/>
      <w:u w:val="single"/>
      <w14:textFill>
        <w14:solidFill>
          <w14:schemeClr w14:val="hlink"/>
        </w14:solidFill>
      </w14:textFill>
    </w:rPr>
  </w:style>
  <w:style w:type="character" w:styleId="964">
    <w:name w:val="annotation reference"/>
    <w:uiPriority w:val="99"/>
    <w:semiHidden/>
    <w:unhideWhenUsed/>
    <w:qFormat/>
    <w:rPr>
      <w:sz w:val="21"/>
      <w:szCs w:val="21"/>
    </w:rPr>
  </w:style>
  <w:style w:type="paragraph" w:styleId="965" w:customStyle="1">
    <w:name w:val="正文缩进1"/>
    <w:basedOn w:val="944"/>
    <w:uiPriority w:val="0"/>
    <w:qFormat/>
    <w:pPr>
      <w:ind w:firstLine="420"/>
      <w:jc w:val="left"/>
    </w:pPr>
    <w:rPr>
      <w:sz w:val="24"/>
    </w:rPr>
  </w:style>
  <w:style w:type="paragraph" w:styleId="966" w:customStyle="1">
    <w:name w:val="标题 11"/>
    <w:basedOn w:val="944"/>
    <w:next w:val="944"/>
    <w:uiPriority w:val="0"/>
    <w:qFormat/>
    <w:pPr>
      <w:keepLines/>
      <w:keepNext/>
      <w:spacing w:before="340" w:after="330" w:line="578" w:lineRule="auto"/>
      <w:outlineLvl w:val="0"/>
    </w:pPr>
    <w:rPr>
      <w:b/>
      <w:sz w:val="44"/>
    </w:rPr>
  </w:style>
  <w:style w:type="paragraph" w:styleId="967" w:customStyle="1">
    <w:name w:val="页眉1"/>
    <w:basedOn w:val="944"/>
    <w:uiPriority w:val="99"/>
    <w:qFormat/>
    <w:pPr>
      <w:jc w:val="center"/>
      <w:tabs>
        <w:tab w:val="center" w:pos="4153" w:leader="none"/>
        <w:tab w:val="right" w:pos="8306" w:leader="none"/>
      </w:tabs>
      <w:pBdr>
        <w:bottom w:val="single" w:color="000000" w:sz="6" w:space="1"/>
      </w:pBdr>
    </w:pPr>
    <w:rPr>
      <w:sz w:val="18"/>
    </w:rPr>
  </w:style>
  <w:style w:type="paragraph" w:styleId="968" w:customStyle="1">
    <w:name w:val="页脚1"/>
    <w:basedOn w:val="944"/>
    <w:uiPriority w:val="99"/>
    <w:qFormat/>
    <w:pPr>
      <w:jc w:val="left"/>
      <w:tabs>
        <w:tab w:val="center" w:pos="4153" w:leader="none"/>
        <w:tab w:val="right" w:pos="8306" w:leader="none"/>
      </w:tabs>
    </w:pPr>
    <w:rPr>
      <w:sz w:val="18"/>
    </w:rPr>
  </w:style>
  <w:style w:type="paragraph" w:styleId="969" w:customStyle="1">
    <w:name w:val="首行缩进"/>
    <w:basedOn w:val="944"/>
    <w:uiPriority w:val="0"/>
    <w:qFormat/>
    <w:pPr>
      <w:ind w:firstLine="480"/>
    </w:pPr>
    <w:rPr>
      <w:lang w:val="zh-CN"/>
    </w:rPr>
  </w:style>
  <w:style w:type="paragraph" w:styleId="970" w:customStyle="1">
    <w:name w:val="Plain Text1"/>
    <w:basedOn w:val="944"/>
    <w:uiPriority w:val="0"/>
    <w:qFormat/>
    <w:rPr>
      <w:rFonts w:ascii="宋体" w:hAnsi="Courier New"/>
    </w:rPr>
  </w:style>
  <w:style w:type="paragraph" w:styleId="971" w:customStyle="1">
    <w:name w:val="纯文本111"/>
    <w:basedOn w:val="944"/>
    <w:uiPriority w:val="0"/>
    <w:qFormat/>
    <w:rPr>
      <w:rFonts w:ascii="宋体" w:hAnsi="Courier New"/>
    </w:rPr>
  </w:style>
  <w:style w:type="paragraph" w:styleId="972" w:customStyle="1">
    <w:name w:val="纯文本1"/>
    <w:basedOn w:val="944"/>
    <w:uiPriority w:val="0"/>
    <w:qFormat/>
    <w:rPr>
      <w:rFonts w:ascii="宋体" w:hAnsi="Courier New"/>
    </w:rPr>
  </w:style>
  <w:style w:type="paragraph" w:styleId="973" w:customStyle="1">
    <w:name w:val="Andy_正文"/>
    <w:basedOn w:val="944"/>
    <w:link w:val="981"/>
    <w:uiPriority w:val="0"/>
    <w:qFormat/>
    <w:pPr>
      <w:ind w:firstLine="480"/>
      <w:spacing w:line="360" w:lineRule="auto"/>
    </w:pPr>
    <w:rPr>
      <w:rFonts w:ascii="Calibri" w:hAnsi="Calibri" w:eastAsia="宋体"/>
      <w:sz w:val="24"/>
      <w:szCs w:val="24"/>
    </w:rPr>
  </w:style>
  <w:style w:type="paragraph" w:styleId="974" w:customStyle="1">
    <w:name w:val="普通(网站)1"/>
    <w:basedOn w:val="944"/>
    <w:uiPriority w:val="99"/>
    <w:qFormat/>
    <w:pPr>
      <w:jc w:val="left"/>
      <w:spacing w:before="100" w:beforeAutospacing="1" w:after="100" w:afterAutospacing="1"/>
      <w:widowControl/>
    </w:pPr>
    <w:rPr>
      <w:rFonts w:ascii="宋体" w:hAnsi="宋体" w:eastAsia="宋体" w:cs="宋体"/>
      <w:sz w:val="24"/>
      <w:szCs w:val="24"/>
    </w:rPr>
  </w:style>
  <w:style w:type="paragraph" w:styleId="975" w:customStyle="1">
    <w:name w:val="正文文本缩进1"/>
    <w:basedOn w:val="944"/>
    <w:uiPriority w:val="99"/>
    <w:qFormat/>
    <w:pPr>
      <w:ind w:left="570"/>
      <w:spacing w:line="520" w:lineRule="exact"/>
    </w:pPr>
    <w:rPr>
      <w:rFonts w:ascii="方正仿宋简体" w:hAnsi="创艺简仿宋" w:eastAsia="方正仿宋简体"/>
      <w:sz w:val="24"/>
    </w:rPr>
  </w:style>
  <w:style w:type="paragraph" w:styleId="976" w:customStyle="1">
    <w:name w:val="目录 11"/>
    <w:basedOn w:val="944"/>
    <w:next w:val="944"/>
    <w:uiPriority w:val="39"/>
    <w:qFormat/>
    <w:pPr>
      <w:jc w:val="left"/>
    </w:pPr>
    <w:rPr>
      <w:sz w:val="24"/>
    </w:rPr>
  </w:style>
  <w:style w:type="paragraph" w:styleId="977" w:customStyle="1">
    <w:name w:val="_正文段落"/>
    <w:basedOn w:val="944"/>
    <w:uiPriority w:val="0"/>
    <w:qFormat/>
    <w:pPr>
      <w:ind w:firstLine="200"/>
      <w:spacing w:line="360" w:lineRule="auto"/>
    </w:pPr>
    <w:rPr>
      <w:rFonts w:eastAsia="宋体"/>
      <w:sz w:val="24"/>
      <w:szCs w:val="24"/>
    </w:rPr>
  </w:style>
  <w:style w:type="character" w:styleId="978" w:customStyle="1">
    <w:name w:val="未处理的提及1"/>
    <w:basedOn w:val="947"/>
    <w:uiPriority w:val="99"/>
    <w:semiHidden/>
    <w:unhideWhenUsed/>
    <w:qFormat/>
    <w:rPr>
      <w:color w:val="605e5c"/>
      <w:shd w:val="clear" w:color="auto" w:fill="e1dfdd"/>
    </w:rPr>
  </w:style>
  <w:style w:type="character" w:styleId="979" w:customStyle="1">
    <w:name w:val="正文缩进 字符"/>
    <w:link w:val="951"/>
    <w:uiPriority w:val="0"/>
    <w:qFormat/>
    <w:rPr>
      <w:rFonts w:ascii="Times New Roman" w:hAnsi="Times New Roman" w:eastAsia="楷体_GB2312" w:cs="Times New Roman"/>
      <w:sz w:val="24"/>
    </w:rPr>
  </w:style>
  <w:style w:type="character" w:styleId="980" w:customStyle="1">
    <w:name w:val="批注文字 字符"/>
    <w:basedOn w:val="947"/>
    <w:link w:val="952"/>
    <w:uiPriority w:val="0"/>
    <w:qFormat/>
    <w:rPr>
      <w:rFonts w:ascii="Calibri" w:hAnsi="Calibri" w:eastAsia="楷体_GB2312" w:cs="Times New Roman"/>
      <w:sz w:val="26"/>
    </w:rPr>
  </w:style>
  <w:style w:type="character" w:styleId="981" w:customStyle="1">
    <w:name w:val="Andy_正文 Char"/>
    <w:link w:val="973"/>
    <w:uiPriority w:val="0"/>
    <w:qFormat/>
    <w:rPr>
      <w:rFonts w:ascii="Calibri" w:hAnsi="Calibri" w:eastAsia="宋体" w:cs="Times New Roman"/>
      <w:sz w:val="24"/>
      <w:szCs w:val="24"/>
    </w:rPr>
  </w:style>
  <w:style w:type="paragraph" w:styleId="982" w:customStyle="1">
    <w:name w:val="纯文本2"/>
    <w:basedOn w:val="944"/>
    <w:uiPriority w:val="0"/>
    <w:qFormat/>
    <w:rPr>
      <w:rFonts w:ascii="宋体" w:hAnsi="Courier New"/>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沈川渝</cp:lastModifiedBy>
  <cp:revision>8</cp:revision>
  <dcterms:created xsi:type="dcterms:W3CDTF">2025-03-06T06:33:00Z</dcterms:created>
  <dcterms:modified xsi:type="dcterms:W3CDTF">2026-01-06T07:37:30Z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DC447B0B4AFB453F98E6E3EE74676C90_11</vt:lpwstr>
  </property>
  <property fmtid="{D5CDD505-2E9C-101B-9397-08002B2CF9AE}" pid="4" name="KSOTemplateDocerSaveRecord">
    <vt:lpwstr>eyJoZGlkIjoiNDcyOTY2ZDg2ZWQ5ZmU4ZTI4MDIxMTM2NjJiNDA2MzYiLCJ1c2VySWQiOiIzMjk1NDQ3OTEifQ==</vt:lpwstr>
  </property>
</Properties>
</file>